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D14CC">
      <w:pPr>
        <w:pStyle w:val="6"/>
        <w:jc w:val="center"/>
        <w:outlineLvl w:val="1"/>
      </w:pPr>
      <w:r>
        <w:rPr>
          <w:rFonts w:ascii="仿宋_GB2312" w:hAnsi="仿宋_GB2312" w:eastAsia="仿宋_GB2312" w:cs="仿宋_GB2312"/>
          <w:b/>
          <w:sz w:val="36"/>
        </w:rPr>
        <w:t>第五章 政府采购合同</w:t>
      </w:r>
    </w:p>
    <w:p w14:paraId="5580D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宋体" w:hAnsi="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color w:val="auto"/>
          <w:sz w:val="36"/>
          <w:szCs w:val="36"/>
          <w:lang w:eastAsia="zh-CN"/>
        </w:rPr>
        <w:t>澄迈县就业局</w:t>
      </w:r>
      <w:r>
        <w:rPr>
          <w:rFonts w:hint="eastAsia" w:ascii="宋体" w:hAnsi="宋体"/>
          <w:b/>
          <w:color w:val="auto"/>
          <w:sz w:val="30"/>
          <w:szCs w:val="30"/>
          <w:lang w:val="en-US" w:eastAsia="zh-CN"/>
        </w:rPr>
        <w:t xml:space="preserve"> </w:t>
      </w:r>
    </w:p>
    <w:p w14:paraId="182CF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line="800" w:lineRule="exact"/>
        <w:ind w:left="2724" w:hanging="2918" w:hangingChars="969"/>
        <w:jc w:val="center"/>
        <w:textAlignment w:val="auto"/>
        <w:rPr>
          <w:rFonts w:hint="eastAsia" w:ascii="宋体" w:hAnsi="宋体"/>
          <w:b/>
          <w:color w:val="auto"/>
          <w:sz w:val="30"/>
          <w:szCs w:val="30"/>
          <w:lang w:eastAsia="zh-CN"/>
        </w:rPr>
      </w:pPr>
      <w:r>
        <w:rPr>
          <w:rFonts w:hint="eastAsia" w:ascii="宋体" w:hAnsi="宋体"/>
          <w:b/>
          <w:color w:val="auto"/>
          <w:sz w:val="30"/>
          <w:szCs w:val="30"/>
          <w:lang w:eastAsia="zh-CN"/>
        </w:rPr>
        <w:t>海南就业驿站（零工市场）项目</w:t>
      </w:r>
    </w:p>
    <w:p w14:paraId="6CC48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line="800" w:lineRule="exact"/>
        <w:ind w:left="2724" w:hanging="2910" w:hangingChars="969"/>
        <w:jc w:val="center"/>
        <w:textAlignment w:val="auto"/>
        <w:rPr>
          <w:rFonts w:ascii="宋体" w:hAnsi="宋体"/>
          <w:b/>
          <w:color w:val="auto"/>
          <w:sz w:val="30"/>
          <w:szCs w:val="30"/>
        </w:rPr>
      </w:pPr>
      <w:r>
        <w:rPr>
          <w:rFonts w:hint="eastAsia" w:ascii="宋体" w:hAnsi="宋体" w:eastAsia="PMingLiU"/>
          <w:b/>
          <w:color w:val="auto"/>
          <w:sz w:val="30"/>
          <w:szCs w:val="30"/>
          <w:lang w:eastAsia="zh-TW"/>
        </w:rPr>
        <w:t>委托</w:t>
      </w:r>
      <w:r>
        <w:rPr>
          <w:rFonts w:hint="eastAsia" w:ascii="宋体" w:hAnsi="宋体"/>
          <w:b/>
          <w:color w:val="auto"/>
          <w:sz w:val="30"/>
          <w:szCs w:val="30"/>
        </w:rPr>
        <w:t>合同（参考样本）</w:t>
      </w:r>
    </w:p>
    <w:p w14:paraId="1E173302">
      <w:pPr>
        <w:rPr>
          <w:rFonts w:ascii="宋体" w:hAnsi="宋体"/>
          <w:b/>
          <w:color w:val="auto"/>
          <w:sz w:val="28"/>
          <w:szCs w:val="28"/>
        </w:rPr>
      </w:pPr>
    </w:p>
    <w:p w14:paraId="2D73F9B8">
      <w:pPr>
        <w:jc w:val="center"/>
        <w:rPr>
          <w:rFonts w:ascii="宋体" w:hAnsi="宋体"/>
          <w:b/>
          <w:color w:val="auto"/>
          <w:sz w:val="28"/>
          <w:szCs w:val="28"/>
        </w:rPr>
      </w:pPr>
    </w:p>
    <w:p w14:paraId="587E54C2">
      <w:pPr>
        <w:ind w:firstLine="1124" w:firstLineChars="400"/>
        <w:rPr>
          <w:rFonts w:hint="default" w:ascii="宋体" w:hAnsi="宋体" w:eastAsia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color w:val="auto"/>
          <w:sz w:val="28"/>
          <w:szCs w:val="28"/>
        </w:rPr>
        <w:t>项目编号：</w:t>
      </w:r>
      <w:r>
        <w:rPr>
          <w:rFonts w:hint="eastAsia" w:ascii="宋体" w:hAnsi="宋体"/>
          <w:b/>
          <w:color w:val="FF0000"/>
          <w:sz w:val="28"/>
          <w:szCs w:val="28"/>
          <w:u w:val="single"/>
          <w:lang w:val="en-US" w:eastAsia="zh-CN"/>
        </w:rPr>
        <w:t xml:space="preserve"> HNZY2025-102 </w:t>
      </w:r>
      <w:r>
        <w:rPr>
          <w:rFonts w:hint="eastAsia" w:ascii="宋体" w:hAnsi="宋体"/>
          <w:b/>
          <w:color w:val="auto"/>
          <w:sz w:val="28"/>
          <w:szCs w:val="28"/>
          <w:u w:val="single"/>
          <w:lang w:val="en-US" w:eastAsia="zh-CN"/>
        </w:rPr>
        <w:t xml:space="preserve">                  </w:t>
      </w:r>
    </w:p>
    <w:p w14:paraId="0F941CB6">
      <w:pPr>
        <w:ind w:left="2519" w:leftChars="348" w:right="640" w:rightChars="0" w:hanging="1405" w:hangingChars="500"/>
        <w:jc w:val="both"/>
      </w:pPr>
      <w:r>
        <w:rPr>
          <w:rFonts w:hint="eastAsia" w:ascii="宋体" w:hAnsi="宋体"/>
          <w:b/>
          <w:color w:val="auto"/>
          <w:sz w:val="28"/>
          <w:szCs w:val="28"/>
        </w:rPr>
        <w:t>项目名称：</w:t>
      </w:r>
      <w:r>
        <w:rPr>
          <w:rFonts w:hint="eastAsia" w:ascii="宋体" w:hAnsi="宋体" w:cs="Times New Roman"/>
          <w:b/>
          <w:color w:val="auto"/>
          <w:sz w:val="28"/>
          <w:szCs w:val="28"/>
          <w:u w:val="single"/>
          <w:lang w:val="en-US" w:eastAsia="zh-CN"/>
        </w:rPr>
        <w:t>海南就业驿站（零工市场）项目</w:t>
      </w:r>
    </w:p>
    <w:p w14:paraId="6BFFF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1124" w:firstLineChars="400"/>
        <w:jc w:val="both"/>
        <w:textAlignment w:val="auto"/>
        <w:rPr>
          <w:rFonts w:hint="default" w:ascii="宋体" w:hAnsi="宋体" w:cs="Times New Roman"/>
          <w:b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b/>
          <w:color w:val="auto"/>
          <w:sz w:val="28"/>
          <w:szCs w:val="28"/>
        </w:rPr>
        <w:t>甲方：</w:t>
      </w:r>
      <w:r>
        <w:rPr>
          <w:rFonts w:hint="eastAsia" w:ascii="宋体" w:hAnsi="宋体"/>
          <w:b/>
          <w:color w:val="auto"/>
          <w:sz w:val="28"/>
          <w:szCs w:val="28"/>
          <w:u w:val="single"/>
        </w:rPr>
        <w:t>澄迈县</w:t>
      </w:r>
      <w:r>
        <w:rPr>
          <w:rFonts w:hint="eastAsia" w:ascii="宋体" w:hAnsi="宋体"/>
          <w:b/>
          <w:color w:val="auto"/>
          <w:sz w:val="28"/>
          <w:szCs w:val="28"/>
          <w:u w:val="single"/>
          <w:lang w:eastAsia="zh-CN"/>
        </w:rPr>
        <w:t>就业局</w:t>
      </w:r>
      <w:r>
        <w:rPr>
          <w:rFonts w:hint="default" w:ascii="宋体" w:hAnsi="宋体" w:cs="Times New Roman"/>
          <w:b/>
          <w:color w:val="auto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cs="Times New Roman"/>
          <w:b/>
          <w:color w:val="auto"/>
          <w:sz w:val="28"/>
          <w:szCs w:val="28"/>
          <w:u w:val="single"/>
          <w:lang w:val="en-US" w:eastAsia="zh-CN"/>
        </w:rPr>
        <w:t xml:space="preserve">      </w:t>
      </w:r>
    </w:p>
    <w:p w14:paraId="4D042F57">
      <w:pPr>
        <w:ind w:firstLine="1124" w:firstLineChars="400"/>
        <w:rPr>
          <w:rFonts w:hint="default" w:ascii="宋体" w:hAnsi="宋体" w:eastAsia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color w:val="auto"/>
          <w:sz w:val="28"/>
          <w:szCs w:val="28"/>
        </w:rPr>
        <w:t>乙方：</w:t>
      </w:r>
      <w:r>
        <w:rPr>
          <w:rFonts w:hint="eastAsia" w:ascii="宋体" w:hAnsi="宋体"/>
          <w:b/>
          <w:color w:val="auto"/>
          <w:sz w:val="28"/>
          <w:szCs w:val="28"/>
          <w:u w:val="single"/>
        </w:rPr>
        <w:t>（成交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u w:val="single"/>
          <w:lang w:eastAsia="zh-TW"/>
        </w:rPr>
        <w:t>供应商</w:t>
      </w:r>
      <w:r>
        <w:rPr>
          <w:rFonts w:hint="eastAsia" w:ascii="宋体" w:hAnsi="宋体"/>
          <w:b/>
          <w:color w:val="auto"/>
          <w:sz w:val="28"/>
          <w:szCs w:val="28"/>
          <w:u w:val="single"/>
        </w:rPr>
        <w:t xml:space="preserve">) </w:t>
      </w:r>
      <w:r>
        <w:rPr>
          <w:rFonts w:hint="eastAsia" w:ascii="宋体" w:hAnsi="宋体"/>
          <w:b/>
          <w:color w:val="auto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default" w:ascii="宋体" w:hAnsi="宋体"/>
          <w:b/>
          <w:color w:val="auto"/>
          <w:sz w:val="28"/>
          <w:szCs w:val="28"/>
          <w:u w:val="single"/>
          <w:lang w:val="en-US" w:eastAsia="zh-CN"/>
        </w:rPr>
        <w:t xml:space="preserve">    </w:t>
      </w:r>
    </w:p>
    <w:p w14:paraId="62946399"/>
    <w:p w14:paraId="22D07312"/>
    <w:p w14:paraId="39342BB4">
      <w:pPr>
        <w:jc w:val="center"/>
        <w:rPr>
          <w:rFonts w:hint="eastAsia"/>
          <w:lang w:val="en-GB"/>
        </w:rPr>
      </w:pPr>
      <w:r>
        <w:rPr>
          <w:rFonts w:hint="eastAsia" w:ascii="宋体" w:hAnsi="宋体"/>
          <w:b/>
          <w:color w:val="auto"/>
          <w:sz w:val="28"/>
          <w:szCs w:val="28"/>
        </w:rPr>
        <w:t>签订日期：202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color w:val="auto"/>
          <w:sz w:val="28"/>
          <w:szCs w:val="28"/>
        </w:rPr>
        <w:t>年    月    日</w:t>
      </w:r>
    </w:p>
    <w:p w14:paraId="03554679">
      <w:pPr>
        <w:spacing w:line="500" w:lineRule="exact"/>
        <w:rPr>
          <w:rFonts w:hint="eastAsia" w:ascii="宋体" w:hAnsi="宋体"/>
          <w:b/>
          <w:bCs/>
          <w:color w:val="auto"/>
          <w:sz w:val="24"/>
          <w:lang w:val="en-GB"/>
        </w:rPr>
      </w:pPr>
    </w:p>
    <w:p w14:paraId="6697A70E">
      <w:pPr>
        <w:spacing w:line="500" w:lineRule="exact"/>
        <w:rPr>
          <w:rFonts w:hint="eastAsia" w:ascii="宋体" w:hAnsi="宋体"/>
          <w:b/>
          <w:bCs/>
          <w:color w:val="auto"/>
          <w:sz w:val="24"/>
          <w:lang w:val="en-GB"/>
        </w:rPr>
      </w:pPr>
    </w:p>
    <w:p w14:paraId="2F99B574">
      <w:pPr>
        <w:spacing w:line="500" w:lineRule="exact"/>
        <w:rPr>
          <w:rFonts w:hint="eastAsia" w:ascii="宋体" w:hAnsi="宋体"/>
          <w:b/>
          <w:bCs/>
          <w:color w:val="auto"/>
          <w:sz w:val="24"/>
          <w:lang w:val="en-GB"/>
        </w:rPr>
      </w:pPr>
    </w:p>
    <w:p w14:paraId="0D17DBF7">
      <w:pPr>
        <w:pStyle w:val="3"/>
        <w:rPr>
          <w:rFonts w:hint="eastAsia" w:ascii="宋体" w:hAnsi="宋体"/>
          <w:b/>
          <w:bCs/>
          <w:color w:val="auto"/>
          <w:sz w:val="24"/>
          <w:lang w:val="en-GB"/>
        </w:rPr>
      </w:pPr>
    </w:p>
    <w:p w14:paraId="65F82134">
      <w:pPr>
        <w:rPr>
          <w:rFonts w:hint="eastAsia"/>
          <w:lang w:val="en-GB"/>
        </w:rPr>
      </w:pPr>
    </w:p>
    <w:p w14:paraId="58830C2E">
      <w:pPr>
        <w:spacing w:line="500" w:lineRule="exact"/>
        <w:rPr>
          <w:rFonts w:hint="eastAsia" w:ascii="宋体" w:hAnsi="宋体"/>
          <w:b/>
          <w:bCs/>
          <w:color w:val="auto"/>
          <w:sz w:val="24"/>
          <w:lang w:val="en-GB"/>
        </w:rPr>
      </w:pPr>
    </w:p>
    <w:p w14:paraId="53110BAD">
      <w:pPr>
        <w:spacing w:line="500" w:lineRule="exact"/>
        <w:rPr>
          <w:rFonts w:hint="eastAsia" w:ascii="宋体" w:hAnsi="宋体"/>
          <w:b/>
          <w:bCs/>
          <w:color w:val="auto"/>
          <w:sz w:val="24"/>
          <w:lang w:val="en-GB"/>
        </w:rPr>
      </w:pPr>
    </w:p>
    <w:p w14:paraId="1DAB3FB8">
      <w:pPr>
        <w:spacing w:line="500" w:lineRule="exact"/>
        <w:rPr>
          <w:rFonts w:hint="eastAsia" w:ascii="宋体" w:hAnsi="宋体"/>
          <w:b/>
          <w:bCs/>
          <w:color w:val="auto"/>
          <w:sz w:val="24"/>
          <w:lang w:val="en-GB"/>
        </w:rPr>
      </w:pPr>
    </w:p>
    <w:p w14:paraId="13077D82">
      <w:pPr>
        <w:spacing w:line="500" w:lineRule="exact"/>
        <w:rPr>
          <w:rFonts w:hint="eastAsia" w:ascii="宋体" w:hAnsi="宋体"/>
          <w:b/>
          <w:bCs/>
          <w:color w:val="auto"/>
          <w:sz w:val="24"/>
          <w:lang w:val="en-GB"/>
        </w:rPr>
      </w:pPr>
    </w:p>
    <w:p w14:paraId="5FB77534">
      <w:pPr>
        <w:spacing w:line="500" w:lineRule="exact"/>
        <w:rPr>
          <w:rFonts w:hint="default" w:ascii="宋体" w:hAnsi="宋体" w:eastAsia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GB"/>
        </w:rPr>
        <w:t>甲方：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GB" w:eastAsia="zh-CN"/>
        </w:rPr>
        <w:t>澄迈县就业局</w:t>
      </w:r>
      <w:r>
        <w:rPr>
          <w:rFonts w:hint="default" w:ascii="宋体" w:hAnsi="宋体"/>
          <w:b/>
          <w:bCs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color w:val="auto"/>
          <w:sz w:val="24"/>
          <w:u w:val="single"/>
          <w:lang w:val="en-US" w:eastAsia="zh-CN"/>
        </w:rPr>
        <w:t xml:space="preserve">   </w:t>
      </w:r>
    </w:p>
    <w:p w14:paraId="055D25A9">
      <w:pPr>
        <w:spacing w:line="500" w:lineRule="exact"/>
        <w:rPr>
          <w:rFonts w:ascii="宋体" w:hAnsi="宋体" w:cs="宋体"/>
          <w:kern w:val="1"/>
          <w:sz w:val="24"/>
          <w:lang w:val="en-GB"/>
        </w:rPr>
      </w:pPr>
      <w:r>
        <w:rPr>
          <w:rFonts w:hint="eastAsia" w:ascii="宋体" w:hAnsi="宋体" w:cs="Times New Roman"/>
          <w:b/>
          <w:bCs/>
          <w:color w:val="auto"/>
          <w:sz w:val="24"/>
          <w:lang w:val="en-GB"/>
        </w:rPr>
        <w:t>乙方：</w:t>
      </w:r>
      <w:r>
        <w:rPr>
          <w:rFonts w:hint="eastAsia" w:ascii="宋体" w:hAnsi="宋体" w:cs="Times New Roman"/>
          <w:b/>
          <w:bCs/>
          <w:color w:val="auto"/>
          <w:sz w:val="24"/>
          <w:u w:val="single"/>
          <w:lang w:val="en-GB"/>
        </w:rPr>
        <w:t xml:space="preserve">                </w:t>
      </w:r>
      <w:r>
        <w:rPr>
          <w:rFonts w:hint="eastAsia" w:ascii="宋体" w:hAnsi="宋体" w:cs="Times New Roman"/>
          <w:b/>
          <w:bCs/>
          <w:color w:val="auto"/>
          <w:sz w:val="24"/>
          <w:lang w:val="en-GB"/>
        </w:rPr>
        <w:t xml:space="preserve">    </w:t>
      </w:r>
    </w:p>
    <w:p w14:paraId="318A515E">
      <w:pPr>
        <w:spacing w:before="312" w:line="440" w:lineRule="exact"/>
        <w:ind w:firstLine="523" w:firstLineChars="218"/>
        <w:rPr>
          <w:rFonts w:ascii="宋体" w:hAnsi="宋体"/>
          <w:color w:val="auto"/>
          <w:sz w:val="24"/>
          <w:lang w:val="en-GB"/>
        </w:rPr>
      </w:pPr>
      <w:bookmarkStart w:id="0" w:name="_Toc78604605"/>
      <w:r>
        <w:rPr>
          <w:rFonts w:hint="eastAsia" w:ascii="宋体" w:hAnsi="宋体"/>
          <w:color w:val="auto"/>
          <w:sz w:val="24"/>
          <w:lang w:val="en-GB"/>
        </w:rPr>
        <w:t>甲乙双方根据《中华人民共和国政府采购法》、《中华人民共和国民法典》、《</w:t>
      </w:r>
      <w:r>
        <w:rPr>
          <w:rFonts w:hint="eastAsia" w:ascii="宋体" w:hAnsi="宋体"/>
          <w:color w:val="auto"/>
          <w:sz w:val="24"/>
          <w:lang w:val="en-GB" w:eastAsia="zh-CN"/>
        </w:rPr>
        <w:t>海南就业驿站（零工市场）项目</w:t>
      </w:r>
      <w:r>
        <w:rPr>
          <w:rFonts w:hint="eastAsia" w:ascii="宋体" w:hAnsi="宋体" w:cs="宋体"/>
          <w:color w:val="auto"/>
          <w:sz w:val="24"/>
          <w:lang w:val="en-GB"/>
        </w:rPr>
        <w:t>竞争性磋商文件</w:t>
      </w:r>
      <w:r>
        <w:rPr>
          <w:rFonts w:hint="eastAsia" w:ascii="宋体" w:hAnsi="宋体"/>
          <w:color w:val="auto"/>
          <w:sz w:val="24"/>
          <w:lang w:val="en-GB"/>
        </w:rPr>
        <w:t>》(项目编号：</w:t>
      </w:r>
      <w:r>
        <w:rPr>
          <w:rFonts w:hint="eastAsia" w:ascii="宋体" w:hAnsi="宋体" w:cs="Times New Roman"/>
          <w:color w:val="FF0000"/>
          <w:kern w:val="2"/>
          <w:sz w:val="24"/>
          <w:szCs w:val="24"/>
          <w:lang w:val="en-GB" w:eastAsia="zh-CN" w:bidi="ar-SA"/>
        </w:rPr>
        <w:t>HNZY2025-102</w:t>
      </w: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采购包1、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□采购包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□采购包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□采购包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□采购包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□采购包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default" w:ascii="宋体" w:hAnsi="宋体" w:eastAsia="仿宋_GB2312" w:cs="Times New Roman"/>
          <w:color w:val="auto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/>
          <w:color w:val="auto"/>
          <w:sz w:val="24"/>
          <w:lang w:val="en-GB"/>
        </w:rPr>
        <w:t>)（</w:t>
      </w:r>
      <w:r>
        <w:rPr>
          <w:rFonts w:hint="eastAsia" w:ascii="宋体" w:hAnsi="宋体" w:cs="宋体"/>
          <w:color w:val="auto"/>
          <w:sz w:val="24"/>
          <w:lang w:val="en-GB"/>
        </w:rPr>
        <w:t>以下称磋商文件）</w:t>
      </w:r>
      <w:r>
        <w:rPr>
          <w:rFonts w:hint="eastAsia" w:ascii="宋体" w:hAnsi="宋体"/>
          <w:color w:val="auto"/>
          <w:sz w:val="24"/>
          <w:lang w:val="en-GB"/>
        </w:rPr>
        <w:t>等法律法规的规定，本着平等互利、诚实信用的原则，达成如下合同条款供双方信守：</w:t>
      </w:r>
      <w:bookmarkStart w:id="4" w:name="_GoBack"/>
      <w:bookmarkEnd w:id="4"/>
    </w:p>
    <w:bookmarkEnd w:id="0"/>
    <w:p w14:paraId="7BA224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Lines="50" w:line="360" w:lineRule="auto"/>
        <w:ind w:left="1662" w:right="57" w:hanging="1662" w:hangingChars="690"/>
        <w:textAlignment w:val="auto"/>
        <w:rPr>
          <w:rStyle w:val="7"/>
          <w:rFonts w:hint="eastAsia" w:ascii="宋体" w:hAnsi="宋体" w:eastAsia="宋体" w:cs="宋体"/>
          <w:sz w:val="24"/>
          <w:szCs w:val="24"/>
        </w:rPr>
      </w:pPr>
      <w:bookmarkStart w:id="1" w:name="_Toc78604614"/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一、合同金额、价格构成及付款方式 </w:t>
      </w:r>
    </w:p>
    <w:p w14:paraId="32A00890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US" w:eastAsia="zh-CN" w:bidi="ar-SA"/>
        </w:rPr>
        <w:t xml:space="preserve">1、价格构成 </w:t>
      </w:r>
    </w:p>
    <w:p w14:paraId="5FB59286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US" w:eastAsia="zh-CN" w:bidi="ar-SA"/>
        </w:rPr>
        <w:t>合同总价包括（但不限于）人员劳务费用、其他所有相关配套服务、全额含税发票以及可合同执行中预见及不可预见的各项费用等。</w:t>
      </w:r>
    </w:p>
    <w:p w14:paraId="455234FC"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US" w:eastAsia="zh-CN" w:bidi="ar-SA"/>
        </w:rPr>
        <w:t>付款方式：</w:t>
      </w:r>
    </w:p>
    <w:p w14:paraId="5C017263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US" w:eastAsia="zh-CN" w:bidi="ar-SA"/>
        </w:rPr>
        <w:t>项目费用分两期支付，第一期于合同生效后成交乙方提供合法有效发票，甲方自收到发票之日起 5 个工作日内向乙方支付合同金额的 70%款项；</w:t>
      </w:r>
    </w:p>
    <w:p w14:paraId="6B1E37EA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US" w:eastAsia="zh-CN" w:bidi="ar-SA"/>
        </w:rPr>
        <w:t>第二期于考核结束后，根据考核结果拨付剩余尾款，付款前乙方须向甲方提供合法有效发票，甲方自收到发票之日起 5 个工作日内向乙方支付。</w:t>
      </w:r>
    </w:p>
    <w:p w14:paraId="31C2AB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Lines="50" w:line="360" w:lineRule="auto"/>
        <w:ind w:left="1662" w:right="57" w:hanging="1662" w:hangingChars="690"/>
        <w:textAlignment w:val="auto"/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7"/>
          <w:rFonts w:hint="eastAsia" w:ascii="宋体" w:hAnsi="宋体" w:eastAsia="宋体" w:cs="宋体"/>
          <w:sz w:val="24"/>
          <w:szCs w:val="24"/>
          <w:lang w:val="en-US" w:eastAsia="zh-CN"/>
        </w:rPr>
        <w:t xml:space="preserve">二、项目实施地点、期限 </w:t>
      </w:r>
    </w:p>
    <w:p w14:paraId="1A8AAF0E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US" w:eastAsia="zh-CN" w:bidi="ar-SA"/>
        </w:rPr>
        <w:t xml:space="preserve">1、服务地点：甲方指定地点。 </w:t>
      </w:r>
    </w:p>
    <w:p w14:paraId="5A64CDD2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US" w:eastAsia="zh-CN" w:bidi="ar-SA"/>
        </w:rPr>
        <w:t xml:space="preserve">2、服务期限：自合同签订之日起计一年止。 </w:t>
      </w:r>
    </w:p>
    <w:p w14:paraId="18FB4A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360" w:lineRule="auto"/>
        <w:ind w:left="1662" w:right="57" w:hanging="1662" w:hangingChars="690"/>
        <w:textAlignment w:val="auto"/>
        <w:rPr>
          <w:rStyle w:val="7"/>
          <w:rFonts w:ascii="宋体" w:hAnsi="宋体" w:cs="宋体"/>
          <w:sz w:val="24"/>
          <w:szCs w:val="24"/>
        </w:rPr>
      </w:pPr>
      <w:r>
        <w:rPr>
          <w:rStyle w:val="7"/>
          <w:rFonts w:hint="eastAsia" w:ascii="宋体" w:hAnsi="宋体" w:cs="宋体"/>
          <w:sz w:val="24"/>
          <w:szCs w:val="24"/>
        </w:rPr>
        <w:t>三、</w:t>
      </w:r>
      <w:r>
        <w:rPr>
          <w:rStyle w:val="7"/>
          <w:rFonts w:hint="eastAsia" w:ascii="宋体" w:hAnsi="宋体" w:cs="宋体"/>
          <w:sz w:val="24"/>
          <w:szCs w:val="24"/>
          <w:lang w:eastAsia="zh-CN"/>
        </w:rPr>
        <w:t>服务内容及要求</w:t>
      </w:r>
    </w:p>
    <w:p w14:paraId="1DE14C11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</w:pP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  <w:t>（一）服务内容</w:t>
      </w:r>
    </w:p>
    <w:p w14:paraId="3A044957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</w:pP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  <w:t>基本服务如下：</w:t>
      </w:r>
    </w:p>
    <w:p w14:paraId="7D7AE1F9">
      <w:pPr>
        <w:pStyle w:val="10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</w:pP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  <w:t>咨询服务：提供就业创业、人力资源服务、劳动维权等方面的政策咨询；</w:t>
      </w:r>
    </w:p>
    <w:p w14:paraId="1BE21F58">
      <w:pPr>
        <w:pStyle w:val="10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</w:pP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  <w:t>登记服务：开展求职登记、招工登记等；</w:t>
      </w:r>
    </w:p>
    <w:p w14:paraId="27F5E746">
      <w:pPr>
        <w:pStyle w:val="10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</w:pP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  <w:t>信息发布：发布就业政策和岗位信息；</w:t>
      </w:r>
    </w:p>
    <w:p w14:paraId="04F0A7D9">
      <w:pPr>
        <w:pStyle w:val="10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</w:pP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  <w:t>撮合就业：收集就业岗位，分析区域内求职者意向，以“点对点”输送、招聘会、面试会等方式开展就业对接活动，为供需双方牵线搭桥；</w:t>
      </w:r>
    </w:p>
    <w:p w14:paraId="01907016">
      <w:pPr>
        <w:pStyle w:val="10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</w:pP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  <w:t>能力提升：开展职业指导、创业指导、组织培训等能力提升活动；</w:t>
      </w:r>
    </w:p>
    <w:p w14:paraId="3922EFE3">
      <w:pPr>
        <w:pStyle w:val="10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</w:pP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  <w:t>生活服务：配备休息座椅、写字桌台、饮水设备、卫生防疫、发布信息显示屏等必要设施，为求职者与用工方沟通洽谈提供平台。</w:t>
      </w:r>
    </w:p>
    <w:p w14:paraId="00A4F6D8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</w:pP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  <w:t>（二）服务要求</w:t>
      </w:r>
    </w:p>
    <w:p w14:paraId="6AADE24A">
      <w:pPr>
        <w:pStyle w:val="10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00" w:firstLineChars="0"/>
        <w:textAlignment w:val="auto"/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</w:pP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  <w:t>运营形式：严格按照要求进行运营且不得再转包。</w:t>
      </w:r>
    </w:p>
    <w:p w14:paraId="0F0CEE55">
      <w:pPr>
        <w:pStyle w:val="10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00" w:firstLineChars="0"/>
        <w:textAlignment w:val="auto"/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</w:pP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  <w:t>人员配备：工作人员（含1名站长）按照驿站登记配备。工作人员在开展服务期间要佩戴工作牌工作，外出工作着装印有驿站名称，亮明身份，严格遵守《海南就业驿站服务规范》，落实服务要求，杜绝禁止行为。</w:t>
      </w:r>
    </w:p>
    <w:p w14:paraId="6A5698E8">
      <w:pPr>
        <w:pStyle w:val="10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00" w:firstLineChars="0"/>
        <w:textAlignment w:val="auto"/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</w:pP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  <w:t>基础设施：服务面积不小于20平米（与其他平台共用的面积和设施设备视为本驿站具备），环境整洁，配有电脑、发布信息显示屏、休息座椅、写字桌台、饮水设备卫生防疫等设施设备，满足日常办公。</w:t>
      </w:r>
    </w:p>
    <w:p w14:paraId="6B36072B">
      <w:pPr>
        <w:pStyle w:val="10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00" w:firstLineChars="0"/>
        <w:textAlignment w:val="auto"/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</w:pP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  <w:t>行政管理：行为规范、信息发布审核办法、学习制度（每月至少组织2次学习）、重要事项报告制度（开展招聘会、培训班、50人以上政策宣讲会等应当提前5天向县就业局报备，在服务过程中发生纠纷，应当第一时间向县就业局报告）、定期报告制度（每周向县就业局提交工作统计表，每月提交相关工作台账，每半年至少向县就业局提交1次工作开展情况报告）、档案管理制度、就业回访制度、财务管理制度、薪酬管理制度、员工考核制度等。</w:t>
      </w:r>
    </w:p>
    <w:p w14:paraId="5CE4B440">
      <w:pPr>
        <w:pStyle w:val="10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00" w:firstLineChars="0"/>
        <w:textAlignment w:val="auto"/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</w:pPr>
      <w:r>
        <w:rPr>
          <w:rFonts w:hint="eastAsia" w:ascii="宋体" w:hAnsi="宋体" w:eastAsia="仿宋_GB2312" w:cs="Times New Roman"/>
          <w:color w:val="auto"/>
          <w:kern w:val="2"/>
          <w:sz w:val="24"/>
          <w:szCs w:val="24"/>
          <w:lang w:val="en-GB" w:eastAsia="zh-CN" w:bidi="ar-SA"/>
        </w:rPr>
        <w:t>公共信息管理：门前悬挂就业服务驿站牌匾，在醒目位置上墙《海南就业驿站服务“五必须”“十不准”》、工作人员介绍、工作人员行为规范、服务事项和流程、服务时间、联系方式、投诉电话、相关业务申办二维码。</w:t>
      </w:r>
    </w:p>
    <w:p w14:paraId="1EC9ED9F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ascii="宋体" w:hAnsi="宋体" w:cs="宋体"/>
          <w:b/>
          <w:sz w:val="24"/>
          <w:lang w:val="en-GB"/>
        </w:rPr>
      </w:pPr>
      <w:r>
        <w:rPr>
          <w:rFonts w:hint="eastAsia" w:ascii="宋体" w:hAnsi="宋体" w:cs="宋体"/>
          <w:b/>
          <w:sz w:val="24"/>
          <w:lang w:val="en-GB" w:eastAsia="zh-CN"/>
        </w:rPr>
        <w:t>五</w:t>
      </w:r>
      <w:r>
        <w:rPr>
          <w:rFonts w:hint="eastAsia" w:ascii="宋体" w:hAnsi="宋体" w:cs="宋体"/>
          <w:b/>
          <w:sz w:val="24"/>
          <w:lang w:val="en-GB"/>
        </w:rPr>
        <w:t>、知识产权</w:t>
      </w:r>
    </w:p>
    <w:p w14:paraId="0F5A4D3D">
      <w:pPr>
        <w:spacing w:line="400" w:lineRule="exact"/>
        <w:rPr>
          <w:rFonts w:ascii="宋体" w:hAnsi="宋体" w:cs="宋体"/>
          <w:sz w:val="24"/>
          <w:lang w:val="en-GB"/>
        </w:rPr>
      </w:pPr>
      <w:r>
        <w:rPr>
          <w:rFonts w:hint="eastAsia" w:ascii="宋体" w:hAnsi="宋体" w:cs="宋体"/>
          <w:sz w:val="24"/>
          <w:lang w:val="en-GB"/>
        </w:rPr>
        <w:t xml:space="preserve">    乙方应保证，甲方在中华人民共和国使用该货物</w:t>
      </w:r>
      <w:r>
        <w:rPr>
          <w:rFonts w:hint="eastAsia" w:ascii="宋体" w:hAnsi="宋体" w:cs="宋体"/>
          <w:sz w:val="24"/>
          <w:lang w:val="en-US" w:eastAsia="zh-CN"/>
        </w:rPr>
        <w:t>或服务</w:t>
      </w:r>
      <w:r>
        <w:rPr>
          <w:rFonts w:hint="eastAsia" w:ascii="宋体" w:hAnsi="宋体" w:cs="宋体"/>
          <w:sz w:val="24"/>
          <w:lang w:val="en-GB"/>
        </w:rPr>
        <w:t>的任何一部分时，如受第三方提出的侵犯其专利权、商标权或其它知识产权的起诉，由乙方承担一切责任。</w:t>
      </w:r>
    </w:p>
    <w:p w14:paraId="40CE6E5E">
      <w:pPr>
        <w:spacing w:beforeLines="50" w:line="400" w:lineRule="exact"/>
        <w:rPr>
          <w:rFonts w:ascii="宋体" w:hAnsi="宋体" w:cs="宋体"/>
          <w:b/>
          <w:sz w:val="24"/>
          <w:lang w:val="en-GB"/>
        </w:rPr>
      </w:pPr>
      <w:r>
        <w:rPr>
          <w:rFonts w:hint="eastAsia" w:ascii="宋体" w:hAnsi="宋体" w:cs="宋体"/>
          <w:b/>
          <w:sz w:val="24"/>
          <w:lang w:val="en-GB" w:eastAsia="zh-CN"/>
        </w:rPr>
        <w:t>六</w:t>
      </w:r>
      <w:r>
        <w:rPr>
          <w:rFonts w:hint="eastAsia" w:ascii="宋体" w:hAnsi="宋体" w:cs="宋体"/>
          <w:b/>
          <w:sz w:val="24"/>
          <w:lang w:val="en-GB"/>
        </w:rPr>
        <w:t>、验收标准</w:t>
      </w:r>
    </w:p>
    <w:p w14:paraId="520CA7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480" w:firstLineChars="200"/>
        <w:textAlignment w:val="auto"/>
        <w:rPr>
          <w:rFonts w:ascii="宋体"/>
          <w:sz w:val="24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原则上自符合阶段性验收条件之日起10个工作日内，乙方以书面形式向甲方提出验收申请，并提交验收报告及相应工作台账资料；相关验收须符合采购文件和响应文件的要求，以及甲乙双方约定的其他验收标准，具体以合同签订内容为准。</w:t>
      </w:r>
    </w:p>
    <w:p w14:paraId="0C20EEEF">
      <w:pPr>
        <w:spacing w:beforeLines="50" w:line="400" w:lineRule="exact"/>
        <w:rPr>
          <w:rFonts w:asci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  <w:lang w:eastAsia="zh-CN"/>
        </w:rPr>
        <w:t>七</w:t>
      </w:r>
      <w:r>
        <w:rPr>
          <w:rFonts w:hint="eastAsia" w:ascii="宋体" w:hAnsi="宋体"/>
          <w:b/>
          <w:bCs/>
          <w:sz w:val="24"/>
        </w:rPr>
        <w:t>、异议及处理</w:t>
      </w:r>
    </w:p>
    <w:p w14:paraId="5DCF7C80">
      <w:pPr>
        <w:spacing w:line="400" w:lineRule="exact"/>
        <w:ind w:firstLine="480" w:firstLineChars="200"/>
      </w:pPr>
      <w:r>
        <w:rPr>
          <w:rFonts w:hint="eastAsia" w:ascii="宋体" w:hAnsi="宋体"/>
          <w:sz w:val="24"/>
        </w:rPr>
        <w:t>甲方对服务质量有异议时，应及时向乙方提出书面的异议和处理意见。乙方在接到甲方书面异议后，应在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个工作日内函复甲方。乙方不及时函复视为默认甲方提出的异议和处理意见。</w:t>
      </w:r>
      <w:bookmarkStart w:id="2" w:name="_Toc78604613"/>
    </w:p>
    <w:p w14:paraId="50652C60">
      <w:pPr>
        <w:pStyle w:val="11"/>
        <w:spacing w:beforeLines="50" w:line="400" w:lineRule="exact"/>
        <w:ind w:firstLine="0" w:firstLineChars="0"/>
        <w:rPr>
          <w:rFonts w:ascii="宋体" w:hAnsi="宋体" w:cs="宋体"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  <w:lang w:eastAsia="zh-CN"/>
        </w:rPr>
        <w:t>八</w:t>
      </w:r>
      <w:r>
        <w:rPr>
          <w:rFonts w:hint="eastAsia" w:ascii="宋体" w:hAnsi="宋体"/>
          <w:b/>
          <w:bCs/>
          <w:color w:val="auto"/>
          <w:sz w:val="24"/>
        </w:rPr>
        <w:t>、违约责任</w:t>
      </w:r>
      <w:bookmarkEnd w:id="2"/>
    </w:p>
    <w:bookmarkEnd w:id="1"/>
    <w:p w14:paraId="4FC46B5E">
      <w:pPr>
        <w:numPr>
          <w:ilvl w:val="0"/>
          <w:numId w:val="4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lang w:val="en-US" w:eastAsia="zh-CN"/>
        </w:rPr>
      </w:pPr>
      <w:bookmarkStart w:id="3" w:name="_Toc78604615"/>
      <w:r>
        <w:rPr>
          <w:rFonts w:hint="eastAsia" w:ascii="仿宋" w:hAnsi="仿宋" w:eastAsia="仿宋" w:cs="仿宋"/>
          <w:sz w:val="24"/>
          <w:lang w:val="en-US" w:eastAsia="zh-CN"/>
        </w:rPr>
        <w:t xml:space="preserve">甲方无正当理由拖延付款，每逾期一天向乙方支付逾期付款额 3 ‰的滞纳金。 </w:t>
      </w:r>
    </w:p>
    <w:p w14:paraId="7C8FC42D">
      <w:pPr>
        <w:numPr>
          <w:ilvl w:val="0"/>
          <w:numId w:val="4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乙方逾期交付服务成果或交付成果不符合合同约定，应按照每日 3 ‰ 支付违约金； 乙方逾期超过30日未完成的，甲方有权单方解除合同，并要求乙方退还已付款项及承担合同价款 20% 的违约金。</w:t>
      </w:r>
    </w:p>
    <w:p w14:paraId="796D1A85">
      <w:pPr>
        <w:numPr>
          <w:ilvl w:val="0"/>
          <w:numId w:val="4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 xml:space="preserve">乙方售后服务或者培训不符合约定的，应当赔偿由此造成甲方的损失。 </w:t>
      </w:r>
    </w:p>
    <w:p w14:paraId="54E92181">
      <w:pPr>
        <w:numPr>
          <w:ilvl w:val="0"/>
          <w:numId w:val="4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甲方有权披露乙方违约记录，并有权作为以后采购活动中对乙方的限制。</w:t>
      </w:r>
    </w:p>
    <w:p w14:paraId="69DF5524">
      <w:pPr>
        <w:spacing w:beforeLines="50" w:line="420" w:lineRule="exact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sz w:val="24"/>
        </w:rPr>
        <w:t>、</w:t>
      </w:r>
      <w:r>
        <w:rPr>
          <w:rFonts w:hint="eastAsia" w:ascii="仿宋" w:hAnsi="仿宋" w:eastAsia="仿宋" w:cs="仿宋"/>
          <w:b/>
          <w:bCs/>
          <w:sz w:val="24"/>
          <w:lang w:eastAsia="zh-CN"/>
        </w:rPr>
        <w:t>合同生效</w:t>
      </w:r>
      <w:r>
        <w:rPr>
          <w:rFonts w:hint="eastAsia" w:ascii="仿宋" w:hAnsi="仿宋" w:eastAsia="仿宋" w:cs="仿宋"/>
          <w:b/>
          <w:bCs/>
          <w:sz w:val="24"/>
        </w:rPr>
        <w:t>其它</w:t>
      </w:r>
      <w:bookmarkEnd w:id="3"/>
    </w:p>
    <w:p w14:paraId="2E04BBE5">
      <w:pPr>
        <w:numPr>
          <w:ilvl w:val="0"/>
          <w:numId w:val="5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 xml:space="preserve">合同履行过程中发生的任何争议，应首先友好协商解决，如果协商开始后仍不能解决，应向货物到达地人民法院提起诉讼。 </w:t>
      </w:r>
    </w:p>
    <w:p w14:paraId="254AB827">
      <w:pPr>
        <w:numPr>
          <w:ilvl w:val="0"/>
          <w:numId w:val="5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 xml:space="preserve">产生争议期间，除产生争议的部分外，合同其它事项和条款仍应继续履行。如有未尽事宜双方可以协商签订补充合同。 </w:t>
      </w:r>
    </w:p>
    <w:p w14:paraId="17A8BD71">
      <w:pPr>
        <w:numPr>
          <w:ilvl w:val="0"/>
          <w:numId w:val="5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 xml:space="preserve">竞争性磋商过程中的会议纪要、往来信函、磋商文件和响应文件、合同附件及《成交通知书》均为本合同不可分割的有效组成部分，与本合同具有同等的法律效力和履约义务。 </w:t>
      </w:r>
    </w:p>
    <w:p w14:paraId="41703D22">
      <w:pPr>
        <w:numPr>
          <w:ilvl w:val="0"/>
          <w:numId w:val="5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 xml:space="preserve">如乙方地址、电话、传真号码有变更，应在变更当日内书面通知甲方。乙方应当根据甲方的指示到具体地点实施安装、调试、售后服务及培训，并承担全部费用。 </w:t>
      </w:r>
    </w:p>
    <w:p w14:paraId="4E8D9D88">
      <w:pPr>
        <w:numPr>
          <w:ilvl w:val="0"/>
          <w:numId w:val="5"/>
        </w:numPr>
        <w:spacing w:line="360" w:lineRule="auto"/>
        <w:ind w:left="0" w:leftChars="0" w:firstLine="400" w:firstLineChars="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本合同在甲乙双方法人（或法人授权代表）签字盖章之日起生效。本合同一式伍份，甲乙双方各执二份，海南政源招标代理有限公司一份。</w:t>
      </w:r>
    </w:p>
    <w:p w14:paraId="7B97B3A6">
      <w:pPr>
        <w:pStyle w:val="3"/>
        <w:rPr>
          <w:rFonts w:hint="eastAsia" w:ascii="宋体" w:hAnsi="宋体" w:cs="宋体"/>
          <w:b w:val="0"/>
          <w:bCs/>
          <w:sz w:val="24"/>
          <w:lang w:eastAsia="zh-CN"/>
        </w:rPr>
      </w:pPr>
    </w:p>
    <w:p w14:paraId="27F58F6C">
      <w:pPr>
        <w:pStyle w:val="3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 w:val="0"/>
          <w:bCs/>
          <w:sz w:val="24"/>
          <w:lang w:eastAsia="zh-CN"/>
        </w:rPr>
        <w:t>（以下无正文）</w:t>
      </w:r>
    </w:p>
    <w:p w14:paraId="2832D315">
      <w:pPr>
        <w:rPr>
          <w:rFonts w:ascii="宋体" w:hAnsi="宋体" w:cs="宋体"/>
          <w:b/>
          <w:sz w:val="24"/>
        </w:rPr>
      </w:pPr>
    </w:p>
    <w:p w14:paraId="78B4E577">
      <w:pPr>
        <w:pStyle w:val="3"/>
        <w:rPr>
          <w:rFonts w:hint="eastAsia" w:ascii="宋体" w:hAnsi="宋体" w:eastAsia="仿宋_GB2312" w:cs="Times New Roman"/>
          <w:kern w:val="2"/>
          <w:sz w:val="24"/>
          <w:szCs w:val="24"/>
          <w:lang w:val="en-US" w:eastAsia="zh-CN" w:bidi="ar-SA"/>
        </w:rPr>
      </w:pPr>
    </w:p>
    <w:p w14:paraId="3CAC146E">
      <w:pPr>
        <w:pStyle w:val="3"/>
        <w:rPr>
          <w:rFonts w:hint="eastAsia" w:ascii="宋体" w:hAnsi="宋体" w:eastAsia="仿宋_GB2312" w:cs="Times New Roman"/>
          <w:kern w:val="2"/>
          <w:sz w:val="24"/>
          <w:szCs w:val="24"/>
          <w:lang w:val="en-US" w:eastAsia="zh-CN" w:bidi="ar-SA"/>
        </w:rPr>
      </w:pPr>
    </w:p>
    <w:p w14:paraId="712A4DC2">
      <w:pPr>
        <w:pStyle w:val="3"/>
        <w:rPr>
          <w:rFonts w:hint="eastAsia" w:ascii="宋体" w:hAnsi="宋体" w:eastAsia="仿宋_GB2312" w:cs="Times New Roman"/>
          <w:kern w:val="2"/>
          <w:sz w:val="24"/>
          <w:szCs w:val="24"/>
          <w:lang w:val="en-US" w:eastAsia="zh-CN" w:bidi="ar-SA"/>
        </w:rPr>
      </w:pPr>
    </w:p>
    <w:p w14:paraId="0537D1CB">
      <w:pPr>
        <w:pStyle w:val="3"/>
        <w:rPr>
          <w:rFonts w:hint="eastAsia" w:ascii="宋体" w:hAnsi="宋体" w:eastAsia="仿宋_GB2312" w:cs="Times New Roman"/>
          <w:kern w:val="2"/>
          <w:sz w:val="24"/>
          <w:szCs w:val="24"/>
          <w:lang w:val="en-US" w:eastAsia="zh-CN" w:bidi="ar-SA"/>
        </w:rPr>
      </w:pPr>
    </w:p>
    <w:p w14:paraId="672ADE05">
      <w:pPr>
        <w:pStyle w:val="3"/>
        <w:rPr>
          <w:rFonts w:hint="eastAsia"/>
          <w:lang w:eastAsia="zh-CN"/>
        </w:rPr>
      </w:pPr>
      <w:r>
        <w:rPr>
          <w:rFonts w:hint="eastAsia" w:ascii="宋体" w:hAnsi="宋体" w:eastAsia="仿宋_GB2312" w:cs="Times New Roman"/>
          <w:kern w:val="2"/>
          <w:sz w:val="24"/>
          <w:szCs w:val="24"/>
          <w:lang w:val="en-US" w:eastAsia="zh-CN" w:bidi="ar-SA"/>
        </w:rPr>
        <w:t>以下为签署页：</w:t>
      </w:r>
    </w:p>
    <w:p w14:paraId="03F13282">
      <w:pPr>
        <w:spacing w:line="50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 xml:space="preserve">甲方(盖章)：                        </w:t>
      </w:r>
      <w:r>
        <w:rPr>
          <w:rFonts w:hint="eastAsia" w:ascii="宋体" w:hAnsi="宋体" w:cs="宋体"/>
          <w:b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b/>
          <w:sz w:val="24"/>
        </w:rPr>
        <w:t xml:space="preserve">  乙方(盖章)：</w:t>
      </w:r>
    </w:p>
    <w:p w14:paraId="0B335F29">
      <w:pPr>
        <w:spacing w:line="500" w:lineRule="exac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 xml:space="preserve">地      址：                       </w:t>
      </w:r>
      <w:r>
        <w:rPr>
          <w:rFonts w:hint="eastAsia" w:ascii="宋体" w:hAnsi="宋体" w:cs="宋体"/>
          <w:b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b/>
          <w:sz w:val="24"/>
        </w:rPr>
        <w:t xml:space="preserve"> </w:t>
      </w:r>
      <w:r>
        <w:rPr>
          <w:rFonts w:hint="eastAsia" w:ascii="宋体" w:hAnsi="宋体" w:cs="宋体"/>
          <w:b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b/>
          <w:sz w:val="24"/>
        </w:rPr>
        <w:t xml:space="preserve">  地      址：</w:t>
      </w:r>
    </w:p>
    <w:p w14:paraId="6FEEB20B">
      <w:pPr>
        <w:spacing w:line="5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代表(签字)：                        </w:t>
      </w:r>
      <w:r>
        <w:rPr>
          <w:rFonts w:hint="eastAsia" w:ascii="宋体" w:hAnsi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</w:rPr>
        <w:t xml:space="preserve">  代表(签字)：</w:t>
      </w:r>
    </w:p>
    <w:p w14:paraId="3FFF1B21">
      <w:pPr>
        <w:spacing w:line="50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日      期：   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</w:rPr>
        <w:t xml:space="preserve"> 年  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</w:rPr>
        <w:t xml:space="preserve">月 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</w:rPr>
        <w:t xml:space="preserve"> 日            日      期：    年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</w:rPr>
        <w:t xml:space="preserve">   月   日</w:t>
      </w:r>
    </w:p>
    <w:p w14:paraId="7D9F4BAB">
      <w:pPr>
        <w:shd w:val="clear" w:color="auto" w:fill="FFFFFF"/>
        <w:snapToGrid w:val="0"/>
        <w:spacing w:line="500" w:lineRule="exact"/>
        <w:rPr>
          <w:rFonts w:ascii="宋体" w:hAnsi="宋体" w:cs="宋体"/>
          <w:b/>
          <w:sz w:val="24"/>
        </w:rPr>
      </w:pPr>
    </w:p>
    <w:p w14:paraId="3FD88DCD">
      <w:pPr>
        <w:shd w:val="clear" w:color="auto" w:fill="FFFFFF"/>
        <w:snapToGrid w:val="0"/>
        <w:spacing w:line="420" w:lineRule="exact"/>
        <w:ind w:firstLine="482" w:firstLineChars="200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采购代理机构声明：本合同标的经</w:t>
      </w:r>
      <w:r>
        <w:rPr>
          <w:rFonts w:hint="eastAsia" w:ascii="宋体" w:hAnsi="宋体" w:cs="宋体"/>
          <w:b/>
          <w:sz w:val="24"/>
          <w:lang w:eastAsia="zh-CN"/>
        </w:rPr>
        <w:t>海南政源招标代理有限公司</w:t>
      </w:r>
      <w:r>
        <w:rPr>
          <w:rFonts w:hint="eastAsia" w:ascii="宋体" w:hAnsi="宋体" w:cs="宋体"/>
          <w:b/>
          <w:sz w:val="24"/>
        </w:rPr>
        <w:t>依法定程序采购，合同主要条款与采购文件及响应文件的内容一致。</w:t>
      </w:r>
    </w:p>
    <w:p w14:paraId="65ADD0EE">
      <w:pPr>
        <w:shd w:val="clear" w:color="auto" w:fill="FFFFFF"/>
        <w:snapToGrid w:val="0"/>
        <w:spacing w:line="500" w:lineRule="exact"/>
        <w:ind w:firstLine="360" w:firstLineChars="1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采购代理机构(盖章)：</w:t>
      </w:r>
    </w:p>
    <w:p w14:paraId="6E32523E">
      <w:pPr>
        <w:shd w:val="clear" w:color="auto" w:fill="FFFFFF"/>
        <w:snapToGrid w:val="0"/>
        <w:spacing w:line="500" w:lineRule="exact"/>
        <w:ind w:firstLine="360" w:firstLineChars="1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经办人：</w:t>
      </w:r>
    </w:p>
    <w:p w14:paraId="0BA00908">
      <w:pPr>
        <w:spacing w:line="500" w:lineRule="exact"/>
        <w:ind w:firstLine="360" w:firstLineChars="1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日  期：      年   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</w:rPr>
        <w:t xml:space="preserve">月  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</w:rPr>
        <w:t xml:space="preserve"> 日</w:t>
      </w:r>
    </w:p>
    <w:p w14:paraId="34E9D90F">
      <w:pPr>
        <w:pStyle w:val="6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r>
        <w:rPr>
          <w:rFonts w:ascii="仿宋_GB2312" w:hAnsi="仿宋_GB2312" w:eastAsia="仿宋_GB2312" w:cs="仿宋_GB2312"/>
        </w:rPr>
        <w:br w:type="page"/>
      </w:r>
    </w:p>
    <w:p w14:paraId="029E4341">
      <w:pPr>
        <w:jc w:val="both"/>
      </w:pPr>
      <w:r>
        <w:drawing>
          <wp:inline distT="0" distB="0" distL="114300" distR="114300">
            <wp:extent cx="6551930" cy="3519805"/>
            <wp:effectExtent l="0" t="0" r="1270" b="44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51930" cy="351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0404DF">
      <w:pPr>
        <w:jc w:val="left"/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8"/>
          <w:szCs w:val="28"/>
          <w:u w:val="none"/>
          <w:lang w:val="en-US" w:eastAsia="zh-CN" w:bidi="ar"/>
        </w:rPr>
      </w:pPr>
    </w:p>
    <w:p w14:paraId="1D922186">
      <w:pPr>
        <w:jc w:val="left"/>
        <w:rPr>
          <w:rFonts w:hint="default" w:ascii="方正小标宋简体" w:hAnsi="方正小标宋简体" w:eastAsia="方正小标宋简体" w:cs="方正小标宋简体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8"/>
          <w:szCs w:val="28"/>
          <w:u w:val="none"/>
          <w:lang w:val="en-US" w:eastAsia="zh-CN" w:bidi="ar"/>
        </w:rPr>
        <w:t>附件2</w:t>
      </w:r>
    </w:p>
    <w:p w14:paraId="2C037999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 xml:space="preserve">澄迈县一等级就业驿站工作绩效考核指标 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                                                                                            </w:t>
      </w:r>
    </w:p>
    <w:tbl>
      <w:tblPr>
        <w:tblStyle w:val="4"/>
        <w:tblW w:w="5721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511"/>
        <w:gridCol w:w="834"/>
        <w:gridCol w:w="8781"/>
        <w:gridCol w:w="492"/>
      </w:tblGrid>
      <w:tr w14:paraId="6FE75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tblHeader/>
          <w:jc w:val="center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8F71D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20" w:lineRule="exact"/>
              <w:ind w:right="-106" w:rightChars="-33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393D1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CB414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20" w:lineRule="exact"/>
              <w:ind w:right="-26" w:rightChars="-8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9F7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指标说明及评价标准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968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71C71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  <w:jc w:val="center"/>
        </w:trPr>
        <w:tc>
          <w:tcPr>
            <w:tcW w:w="34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6A0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106" w:rightChars="-33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登记服务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（24分）</w:t>
            </w:r>
          </w:p>
        </w:tc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68B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B4209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求职登记(10分)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58A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在醒目位置摆放求职登记表和填写样表，指导求职者填写求职信息，入户登记。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（1）开展求职登记服务建立个人求职档案大于等于800人，县内占比大于等于60%。（10分）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（2）开展求职登记服务建立个人求职档案大于等于500人小于800人，县内占比大于等于40%小于60%。（6分）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（2）开展求职登记服务建立个人求职档案大于等于300人小于500人，县内占比大于等于20%小于40%。（3分）</w:t>
            </w:r>
          </w:p>
          <w:p w14:paraId="241086D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（4）不符合上述情况。（0分）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993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6AD0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4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02C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106" w:rightChars="-33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3EB6E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39D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入户登记（2分）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644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应主动入户登记，逐步建起困难群体人员台账、毕业生台账，“一人一档”“一人一策”，做到全面登记责任片区内有就业需求的居民求职信息。</w:t>
            </w:r>
          </w:p>
          <w:p w14:paraId="3C6190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（1）困难群体人员、毕业生台账登记完善且片区登记覆盖率达90%及以上。（2分）</w:t>
            </w:r>
          </w:p>
          <w:p w14:paraId="33D468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（2）困难群体人员、毕业生台账登记完善且片区登记覆盖率达80%-90%。（1分）</w:t>
            </w:r>
          </w:p>
          <w:p w14:paraId="21ECA5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（3）困难群体人员、毕业生台账登记不完善或片区登记覆盖率不足80%。（0分）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914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36B3F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  <w:jc w:val="center"/>
        </w:trPr>
        <w:tc>
          <w:tcPr>
            <w:tcW w:w="3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401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106" w:rightChars="-33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6C6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EA9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用工登记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0B7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开展用工登记服务，多渠道收集用工信息并做好登记。做好劳务带头人（经纪人）信息登记。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（1）用工登记信息数量大于等于800条，走访完辖区内用工单位，登记劳务带头人（经纪人）大于等于30人。（10分）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（2）用工登记信息数量大于等于500条小于800条，走访辖区内部分用工单位，登记劳务带头人（经纪人）大于等于20人小于30人。（5分）</w:t>
            </w:r>
          </w:p>
          <w:p w14:paraId="21FEBE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（3）用工登记信息数量大于等于300条小于500条，走访辖区内部分用工单位，登记劳务带头人（经纪人）大于等于10人小于20人。（2分）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（4）不符合上述情况。（0分）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注：1家用人主体登记1次为1条用工登记信息。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A5A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1F74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3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CFE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106" w:rightChars="-33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D5F8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AAF8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用工企业信息核实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（2分）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FFE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核实用人主体的信用情况，以及是否经登记管理机关核准后登记备案等，保证用工信息真实有效；确保用工信息不存在性别、年龄、地域、种族等就业歧视情况。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（1）用工信息全部真实有效，且不存在有就业歧视的用工信息。（2分）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（2）用工信息全部真实有效，但存在有就业歧视的用工信息。（1.5分）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（3）部分用工信息虚假无效，不存在有就业歧视的用工信息。（1分）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（4）不符合上述情况。（0分）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9BF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6EEF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" w:hRule="atLeast"/>
          <w:jc w:val="center"/>
        </w:trPr>
        <w:tc>
          <w:tcPr>
            <w:tcW w:w="34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C04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106" w:rightChars="-33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咨询服务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（2分）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1FF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64F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业务咨询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（1分）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7CD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提供就业创业政策和业务、人力资源服务、社会保险等方面的业务咨询。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（1）提供业务咨询并做记录。（1分）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（2）不符合上述情况。（0分）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注：驿站将该项服务转移至其他组织（或个人），则视为已提供该项服务。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2F5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B8AF6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34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292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106" w:rightChars="-33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BA0F3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2A6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劳动维权</w:t>
            </w:r>
          </w:p>
          <w:p w14:paraId="5753C1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咨询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(1分)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397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指导帮助签订劳务合同、购买工伤保险、欠薪追讨、法律援助等。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（1）对求职者有需求的咨询事项提供指导帮助并形成记录台账。（1分）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（2）不符合上述情况。（0分）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注：驿站将该项服务转移至其他组织（或个人），则视为已提供该项服务。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768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7E11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  <w:jc w:val="center"/>
        </w:trPr>
        <w:tc>
          <w:tcPr>
            <w:tcW w:w="34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E8CE1C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106" w:rightChars="-33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信息录入与发布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A67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E18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“1号求职机”信息录入与发布</w:t>
            </w:r>
          </w:p>
          <w:p w14:paraId="3F086A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(5分)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606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录入、发布求职用工信息。向所在辖区及周边等地区定点发布招聘信息。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（1）录入求职用工信息和定点发布招聘信息均达1200条/年以上。（4分）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（2）录入求职用工信息或定点发布招聘信息不足1000条/年。（2分）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（3）录入求职用工信息和定点发布招聘信息均未达800条/年。（1分）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（4）不符合上述情况。（0分）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D1B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3E01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34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1E856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106" w:rightChars="-33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F70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84E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发布其他 信息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(1分)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699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发布就业政策法规、招聘会、培训宣讲活动等其他信息。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（1）发布就业政策法规、招聘会、培训宣讲活动信息。（1分）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（2）发布就业政策法规、招聘会、培训宣讲活动其中的部分信息。（0.5分）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（3）不符合上述情况。（0分）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C35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202D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  <w:jc w:val="center"/>
        </w:trPr>
        <w:tc>
          <w:tcPr>
            <w:tcW w:w="34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D7E99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106" w:rightChars="-33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职业介绍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(30分)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D24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93E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就业服务 活动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(4分)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FA6D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举办或者组织人员参加招聘会、面试会、就业洽谈等就业服务活动。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（1）举办或参加活动总数达30场次/年以上，且其中举办的不少于20场次/年。（4分）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（2）举办或参加活动总数达30场次/年，但其中举办的少于20场。（2分）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（3）举办或参加活动，但总数未达30场次/年。（1分）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（4）未举办或参加活动。（0分）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注：包括与其他机构平台联合举办的活动。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D4D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6990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2" w:hRule="atLeast"/>
          <w:jc w:val="center"/>
        </w:trPr>
        <w:tc>
          <w:tcPr>
            <w:tcW w:w="34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2F5E4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106" w:rightChars="-33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EBBB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B92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灵活就业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(8分)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FA0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通过日常介绍、“点对点”输送，推荐求职者灵活就业人次数。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（1）推荐求职者灵活就业大于等于600人次。（8分）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（2）推荐求职者灵活就业大于等于400人次小于600人次。（5分）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（3）推荐求职者灵活就业大于等于200人次小于400人次。（2分）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（4）不符合上述情况。（0分）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2B0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652C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  <w:jc w:val="center"/>
        </w:trPr>
        <w:tc>
          <w:tcPr>
            <w:tcW w:w="34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ECAA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106" w:rightChars="-33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642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659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稳定就业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(10分)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84C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成功推荐稳定就业（非灵活就业）60人次，以劳动合同、参保记录为依据，包括组织招聘会、面试会、就业洽谈、日常推荐等各种方式推荐成功。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（1）成功推荐稳定就业（非灵活就业）大于等于60人次。（10分）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（2）成功推荐稳定就业（非灵活就业）大于等于45人次小于60人次。（5分）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（3）成功推荐稳定就业（非灵活就业）大于等于24人次小于45人次。（2分）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（4）不符合上述情况。（0分）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D69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1A1D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8" w:hRule="atLeast"/>
          <w:jc w:val="center"/>
        </w:trPr>
        <w:tc>
          <w:tcPr>
            <w:tcW w:w="34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D8FF9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106" w:rightChars="-33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45D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0E3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就业推荐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（8分）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1506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驿站至少应当为在本站登记的求职者筛选5个匹配度高的岗位，进行不少于3次就业推荐；3次推荐不成功的，应当征求求职者意见再继续推荐。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（1）进行不少于3次就业推荐的求职者数量大于等于80%。（6分）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（2）进行不少于3次就业推荐的求职者数量大于等于60%小于80%。（3分）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（3）进行不少于3次就业推荐的求职者数量大于0小于60%。（1分）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（4）不符合上述情况。（0分）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注：在2次就业推荐以内已上岗的求职者视为进行不少于3次就业推荐。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BEE8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0B8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34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D899D8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106" w:rightChars="-33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能力提升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(6分)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D0E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2743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政策法规劳动维权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（2分）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5DA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开展政策法规宣讲、劳动维权等专家指导活动、服务活动。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（1）开展以上内容相关活动场次不少于6场次/年。（2分）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（2）开展以上内容相关活动场次少于6场次/年。（1分）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（3）不符合上述情况。（0分）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注：不局限于在驿站内宣讲。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9DB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F7FC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34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6143D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106" w:rightChars="-33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7EF9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BD2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职业指导创业指导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(2分)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37E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开展职业指导、创业指导等专家指导活动、服务活动。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（1）开展以上内容相关活动场次不少于6场次/年。（2分）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（2）开展以上内容相关活动场次少于6场次/年。（1分）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（3）不符合上述情况。（0分）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注：不局限于在驿站内宣讲。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FD4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ADD80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  <w:jc w:val="center"/>
        </w:trPr>
        <w:tc>
          <w:tcPr>
            <w:tcW w:w="34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17C3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106" w:rightChars="-33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619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A168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职业培训技能提升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(2分)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BBD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开展职业培训、技能提升等专家指导活动、服务活动。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（1）开展以上内容相关活动场次不少于6场次/年。（2分）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（2）开展以上内容相关活动场次少于6场次/年。（1分）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（3）不符合上述情况。（0分）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注：不局限于在驿站内宣讲。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5F5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1F91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  <w:jc w:val="center"/>
        </w:trPr>
        <w:tc>
          <w:tcPr>
            <w:tcW w:w="342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F1CE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106" w:rightChars="-33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配合各级政府工作(26分)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F1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9D3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协助完成重点指标(20分）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DFB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根据人社就业部门下达的指标协助完成城镇新增就业、城镇失业人员再就业、就业困难人员就业、高校毕业生就业、就业帮扶和技能人才队伍建设情况等。</w:t>
            </w:r>
          </w:p>
          <w:p w14:paraId="0F9E3F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（1）积极主动配合的。（20分）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（2）要求参加，不主动的。（10分）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（3）不配合的。（0分）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356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D46B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  <w:jc w:val="center"/>
        </w:trPr>
        <w:tc>
          <w:tcPr>
            <w:tcW w:w="342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E9A2A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106" w:rightChars="-33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264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2E0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配合乡镇政府工作（6分）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B76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根据乡镇政府实际情况，积极配合组织开展就业服务等活动。</w:t>
            </w:r>
          </w:p>
          <w:p w14:paraId="151F09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（1）积极主动配合的。（6分）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（2）要求参加，不主动的。（3分）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（3）不配合的。（0分）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FDB4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A2BD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34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1B04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106" w:rightChars="-33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服务对象</w:t>
            </w:r>
          </w:p>
          <w:p w14:paraId="23068F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106" w:rightChars="-33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评价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656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A28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服务对象评价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78C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采用抽样调查方式，通过对服务对象的电话调查或问卷调查，了解服务对象对驿站所开展服务（内容、形式、安排、工作人员的服务态度、专业能力、服务效果等）的满意度。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（1）满意度大于等于90%，得3分。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（2）满意度大于等于80%小于90%，得2分。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（3）满意度大于等于60%小于80%，得1分。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（4）满意度小于60%，不得分。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注：参与满意度测评的服务对象人数不少于登记服务（含求职登记和招工登记）数量的10%。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3E6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CC578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atLeast"/>
          <w:jc w:val="center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0CF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106" w:rightChars="-33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各镇、各村居委员会评价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2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6F4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570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各镇、各村（居）委员会评价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3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8DC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通过电话调查或问卷调查，了解驿站辖区乡镇、村（居）委会对驿站所开展工作（工作时间、工作责任与态度、工作能力、工作职权、工作内容、取得成效等）的满意度。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（1）满意度大于等于90%，得3分。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（2）满意度大于等于80%小于90%，得2分。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（3）满意度大于等于60%小于80%，得1分。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（4）满意度小于60%，不得分。</w:t>
            </w:r>
          </w:p>
        </w:tc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E4D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B978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atLeast"/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6C8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ind w:right="-26" w:rightChars="-8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考核组：                                                                                        总得分：</w:t>
            </w:r>
          </w:p>
        </w:tc>
      </w:tr>
    </w:tbl>
    <w:p w14:paraId="18721D9E">
      <w:pPr>
        <w:jc w:val="left"/>
        <w:rPr>
          <w:rFonts w:hint="default" w:ascii="方正小标宋简体" w:hAnsi="方正小标宋简体" w:eastAsia="方正小标宋简体" w:cs="方正小标宋简体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8"/>
          <w:szCs w:val="28"/>
          <w:u w:val="none"/>
          <w:lang w:val="en-US" w:eastAsia="zh-CN" w:bidi="ar"/>
        </w:rPr>
        <w:t>附件3</w:t>
      </w:r>
    </w:p>
    <w:p w14:paraId="62A50B70">
      <w:pPr>
        <w:jc w:val="center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澄迈县二等级就业驿站工作绩效考核指标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                                                                                           </w:t>
      </w:r>
    </w:p>
    <w:tbl>
      <w:tblPr>
        <w:tblStyle w:val="4"/>
        <w:tblW w:w="588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519"/>
        <w:gridCol w:w="867"/>
        <w:gridCol w:w="9021"/>
        <w:gridCol w:w="448"/>
      </w:tblGrid>
      <w:tr w14:paraId="0FE7A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41" w:hRule="atLeast"/>
          <w:tblHeader/>
          <w:jc w:val="center"/>
        </w:trPr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DF871B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D03E0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E69A0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5C6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指标说明及评价标准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95B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65A6F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  <w:jc w:val="center"/>
        </w:trPr>
        <w:tc>
          <w:tcPr>
            <w:tcW w:w="37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164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登记服务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（24分）</w:t>
            </w:r>
          </w:p>
        </w:tc>
        <w:tc>
          <w:tcPr>
            <w:tcW w:w="221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643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28932E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求职登记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384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BA5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在醒目位置摆放求职登记表和填写样表，指导求职者填写求职信息，入户登记。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（1）开展求职登记服务建立个人求职档案大于等于500人，县内占比大于等于60%。（10分）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（2）开展求职登记服务建立个人求职档案大于等于400人小于500人，县内占比大于等于40%小于60%。（6分）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（2）开展求职登记服务建立个人求职档案大于等于200人小于400人，县内占比大于等于20%小于40%。（3分）</w:t>
            </w:r>
          </w:p>
          <w:p w14:paraId="2621D1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（4）不符合上述情况。（0分）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A39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8EF6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7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EA4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C268E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9C7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入户登记（2分）</w:t>
            </w:r>
          </w:p>
        </w:tc>
        <w:tc>
          <w:tcPr>
            <w:tcW w:w="384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CC9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应主动入户登记，逐步建起困难群体人员台账、毕业生台账，“一人一档”“一人一策”，做到全面登记责任片区内有就业需求的居民求职信息。</w:t>
            </w:r>
          </w:p>
          <w:p w14:paraId="7D3B240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（1）困难群体人员、毕业生台账登记完善且片区登记覆盖率达90%及以上。（2分）</w:t>
            </w:r>
          </w:p>
          <w:p w14:paraId="2D9966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（2）困难群体人员、毕业生台账登记完善且片区登记覆盖率达80%-90%。（1分）</w:t>
            </w:r>
          </w:p>
          <w:p w14:paraId="4CCE83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（3）困难群体人员、毕业生台账登记不完善或片区登记覆盖率不足80%。（0分）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D0C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91AA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  <w:jc w:val="center"/>
        </w:trPr>
        <w:tc>
          <w:tcPr>
            <w:tcW w:w="3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85F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CBC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7FE3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用工登记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3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18C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开展用工登记服务，多渠道收集用工信息并做好登记。做好劳务带头人（经纪人）信息登记。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（1）用工登记信息数量大于等于500条，走访完辖区内用工单位，登记劳务带头人（经纪人）大于等于20人。（10分）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（2）用工登记信息数量大于等于400条小于500条，走访辖区内部分用工单位，登记劳务带头人（经纪人）大于等于12人小于20人。（5分）</w:t>
            </w:r>
          </w:p>
          <w:p w14:paraId="58FE3B5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（3）用工登记信息数量大于等于200条小于400条，走访辖区内部分用工单位，登记劳务带头人（经纪人）大于等于8人小于12人。（2分）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（4）不符合上述情况。（0分）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注：1家用人主体登记1次为1条用工登记信息。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7D3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42F1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3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F11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BAA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50C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用工企业信息核实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（2分）</w:t>
            </w:r>
          </w:p>
        </w:tc>
        <w:tc>
          <w:tcPr>
            <w:tcW w:w="3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E90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核实用人主体的信用情况，以及是否经登记管理机关核准后登记备案等，保证用工信息真实有效；确保用工信息不存在性别、年龄、地域、种族等就业歧视情况。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（1）用工信息全部真实有效，且不存在有就业歧视的用工信息。（2分）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（2）用工信息全部真实有效，但存在有就业歧视的用工信息。（1.5分）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（3）部分用工信息虚假无效，不存在有就业歧视的用工信息。（1分）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（4）不符合上述情况。（0分）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DB2B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50A7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37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72E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咨询服务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（2分）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98A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D9C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业务咨询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（1分）</w:t>
            </w:r>
          </w:p>
        </w:tc>
        <w:tc>
          <w:tcPr>
            <w:tcW w:w="3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D55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提供就业创业政策和业务、人力资源服务、社会保险等方面的业务咨询。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（1）提供业务咨询并做记录。（1分）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（2）不符合上述情况。（0分）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注：驿站将该项服务转移至其他组织（或个人），则视为已提供该项服务。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C63B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8643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37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69E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6F88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E54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劳动维权</w:t>
            </w:r>
          </w:p>
          <w:p w14:paraId="07933F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咨询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（1分）</w:t>
            </w:r>
          </w:p>
        </w:tc>
        <w:tc>
          <w:tcPr>
            <w:tcW w:w="3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7AE3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指导帮助签订劳务合同、购买工伤保险、欠薪追讨、法律援助等。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（1）对求职者有需求的咨询事项均提供指导帮助。（1分）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（2）不符合上述情况。（0分）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注：驿站将该项服务转移至其他组织（或个人），则视为已提供该项服务。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D92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7AC8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  <w:jc w:val="center"/>
        </w:trPr>
        <w:tc>
          <w:tcPr>
            <w:tcW w:w="37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61DF4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信息录入与发布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EE9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232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“1号求职机”信息录入与发布</w:t>
            </w:r>
          </w:p>
          <w:p w14:paraId="4852E9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（5分）</w:t>
            </w:r>
          </w:p>
        </w:tc>
        <w:tc>
          <w:tcPr>
            <w:tcW w:w="3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B1A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录入、发布求职用工信息。向所在辖区及周边等地区定点发布招聘信息。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（1）录入求职用工信息和定点发布招聘信息均达1000条/年以上。（4分）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（2）录入求职用工信息或定点发布招聘信息不足800条/年。（2分）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（3）录入求职用工信息和定点发布招聘信息均未达600条/年。（1分）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（4）不符合上述情况。（0分）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7C7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F504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37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CE52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7EA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F3FF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发布其他 信息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（1分）</w:t>
            </w:r>
          </w:p>
        </w:tc>
        <w:tc>
          <w:tcPr>
            <w:tcW w:w="3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51D7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发布就业政策法规、招聘会、培训宣讲活动等其他信息。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（1）发布就业政策法规、招聘会、培训宣讲活动信息。（1分）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（2）发布就业政策法规、招聘会、培训宣讲活动其中的部分信息。（0.5分）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（3）不符合上述情况。（0分）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9B4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6508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  <w:jc w:val="center"/>
        </w:trPr>
        <w:tc>
          <w:tcPr>
            <w:tcW w:w="37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8BC12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职业介绍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268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C274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就业服务 活动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3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0573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举办或者组织人员参加招聘会、面试会、就业洽谈等就业服务活动。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（1）举办或参加活动总数达20场次/年以上，且其中举办的不少于10场次/年。（4分）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（2）举办或参加活动总数达20场次/年,但其中举办的少于10场。（2分）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（3）举办或参加活动，但总数未达20场次/年。（1分）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（4）未举办或参加活动。（0分）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注：包括与其他机构平台联合举办的活动。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55E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09AC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2" w:hRule="atLeast"/>
          <w:jc w:val="center"/>
        </w:trPr>
        <w:tc>
          <w:tcPr>
            <w:tcW w:w="37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097D2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455D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A8F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灵活就业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（8分）</w:t>
            </w:r>
          </w:p>
        </w:tc>
        <w:tc>
          <w:tcPr>
            <w:tcW w:w="3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985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通过日常介绍、“点对点”输送，推荐求职者灵活就业人次数。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（1）推荐求职者灵活就业大于等于500人次。（8分）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（2）推荐求职者灵活就业大于等于300人次小于500人次。（5分）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（3）推荐求职者灵活就业大于等于100人次小于300人次。（2分）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（4）不符合上述情况。（0分）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2E5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A7AF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  <w:jc w:val="center"/>
        </w:trPr>
        <w:tc>
          <w:tcPr>
            <w:tcW w:w="37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2D8FF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F08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3B5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稳定就业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3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BC8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成功推荐稳定就业（非灵活就业）30人次，以劳动合同、参保记录为依据，包括组织招聘会、面试会、就业洽谈、日常推荐等各种方式推荐成功。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（1）成功推荐稳定就业（非灵活就业）大于等于30人次。（10分）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（2）成功推荐稳定就业（非灵活就业）大于等于20人次小于30人次。（5分）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（3）成功推荐稳定就业（非灵活就业）大于等于15人次小于20人次。（2分）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（4）不符合上述情况。（0分）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DF42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B3EB8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37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0694F9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2149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700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就业推荐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（8分）</w:t>
            </w:r>
          </w:p>
        </w:tc>
        <w:tc>
          <w:tcPr>
            <w:tcW w:w="3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052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驿站至少应当为在本站登记的求职者筛选5个匹配度高的岗位，进行不少于3次就业推荐；3次推荐不成功的，应当征求求职者意见再继续推荐。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（1）进行不少于3次就业推荐的求职者数量大于等于80%。（6分）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（2）进行不少于3次就业推荐的求职者数量大于等于60%小于80%。（3分）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（3）进行不少于3次就业推荐的求职者数量大于0小于60%。（1分）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（4）不符合上述情况。（0分）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注：在2次就业推荐以内已上岗的求职者视为进行不少于3次就业推荐。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EB8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38AD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372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52BC61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能力提升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BB1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B2D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政策法规劳动维权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（2分）</w:t>
            </w:r>
          </w:p>
        </w:tc>
        <w:tc>
          <w:tcPr>
            <w:tcW w:w="3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C9E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开展政策法规宣讲、劳动维权等专家指导活动、服务活动。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（1）开展以上内容相关活动场次不少于5场次/年。（2分）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（2）开展以上内容相关活动场次少于5场次/年。（1分）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（3）不符合上述情况。（0分）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注：不局限于在驿站内宣讲。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9B1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9FDF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37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4BCDB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4F9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9013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职业指导创业指导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（2分）</w:t>
            </w:r>
          </w:p>
        </w:tc>
        <w:tc>
          <w:tcPr>
            <w:tcW w:w="3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D10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开展职业指导、创业指导等专家指导活动、服务活动。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（1）开展以上内容相关活动场次不少于5场次/年。（2分）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（2）开展以上内容相关活动场次少于5场次/年。（1分）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（3）不符合上述情况。（0分）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注：不局限于在驿站内宣讲。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6EB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CD6F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  <w:jc w:val="center"/>
        </w:trPr>
        <w:tc>
          <w:tcPr>
            <w:tcW w:w="372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3D0C9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411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4F0E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职业培训技能提升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（2分）</w:t>
            </w:r>
          </w:p>
        </w:tc>
        <w:tc>
          <w:tcPr>
            <w:tcW w:w="3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61D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开展职业培训、技能提升等专家指导活动、服务活动。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（1）开展以上内容相关活动场次不少于5场次/年。（2分）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（2）开展以上内容相关活动场次少于5场次/年。（1分）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（3）不符合上述情况。（0分）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注：不局限于在驿站内宣讲。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23DC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A3CC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  <w:jc w:val="center"/>
        </w:trPr>
        <w:tc>
          <w:tcPr>
            <w:tcW w:w="372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1F6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配合各级</w:t>
            </w:r>
          </w:p>
          <w:p w14:paraId="65AF79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政府工作 </w:t>
            </w:r>
          </w:p>
          <w:p w14:paraId="7E4D99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（26分）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D2D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702F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协助完成重点指标（20分）</w:t>
            </w:r>
          </w:p>
        </w:tc>
        <w:tc>
          <w:tcPr>
            <w:tcW w:w="3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4DAA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根据人社就业部门下达的指标协助完成城镇新增就业、城镇失业人员再就业、就业困难人员就业、高校毕业生就业、就业帮扶和技能人才队伍建设情况等。</w:t>
            </w:r>
          </w:p>
          <w:p w14:paraId="381A57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（1）积极主动配合的。（20分）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（2）要求参加，不主动的。（10分）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（3）不配合的。（0分）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93BE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8970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  <w:jc w:val="center"/>
        </w:trPr>
        <w:tc>
          <w:tcPr>
            <w:tcW w:w="372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2D553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75F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7CB5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配合乡镇政府工作（6分）</w:t>
            </w:r>
          </w:p>
        </w:tc>
        <w:tc>
          <w:tcPr>
            <w:tcW w:w="3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A7D1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根据乡镇政府实际情况，积极配合组织开展就业服务等活动。</w:t>
            </w:r>
          </w:p>
          <w:p w14:paraId="228ACD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（1）积极主动配合的。（6分）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（2）要求参加，不主动的。（3分）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（3）不配合的。（0分）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1FC9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7EC0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37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2F9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服务对象</w:t>
            </w:r>
          </w:p>
          <w:p w14:paraId="059DA13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评价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23B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440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服务对象评价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3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111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采用抽样调查方式，通过对服务对象的电话调查或问卷调查，了解服务对象对驿站所开展服务（内容、形式、安排、工作人员的服务态度、专业能力、服务效果等）的满意度。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（1）满意度大于等于90%，得3分。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（2）满意度大于等于80%小于90%，得2分。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（3）满意度大于等于60%小于80%，得1分。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（4）满意度小于60%，不得分。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注：参与满意度测评的服务对象人数不少于登记服务（含求职登记和招工登记）数量的10%。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44BC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6D01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atLeast"/>
          <w:jc w:val="center"/>
        </w:trPr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F45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各镇、各村居委员会评价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60C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A2AA4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各镇、各村（居）委员会评价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38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AA3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通过电话调查或问卷调查，了解驿站辖区乡镇、村（居）委会对驿站所开展工作（工作时间、工作责任与态度、工作能力、工作职权、工作内容、取得成效等）的满意度。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（1）满意度大于等于90%，得3分。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（2）满意度大于等于80%小于90%，得2分。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（3）满意度大于等于60%小于80%，得1分。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（4）满意度小于60%，不得分。</w:t>
            </w:r>
          </w:p>
        </w:tc>
        <w:tc>
          <w:tcPr>
            <w:tcW w:w="1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EF1E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B587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atLeast"/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2E5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考核组：                                                                                        总得分：</w:t>
            </w:r>
          </w:p>
        </w:tc>
      </w:tr>
    </w:tbl>
    <w:p w14:paraId="14EC91A3">
      <w:pPr>
        <w:jc w:val="left"/>
        <w:rPr>
          <w:rFonts w:hint="default" w:ascii="方正小标宋简体" w:hAnsi="方正小标宋简体" w:eastAsia="方正小标宋简体" w:cs="方正小标宋简体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8"/>
          <w:szCs w:val="28"/>
          <w:u w:val="none"/>
          <w:lang w:val="en-US" w:eastAsia="zh-CN" w:bidi="ar"/>
        </w:rPr>
        <w:t>附件4</w:t>
      </w:r>
    </w:p>
    <w:p w14:paraId="28279B80">
      <w:pPr>
        <w:jc w:val="center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澄迈县三等级就业驿站工作绩效考核指标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                                                                                            </w:t>
      </w:r>
    </w:p>
    <w:tbl>
      <w:tblPr>
        <w:tblStyle w:val="4"/>
        <w:tblW w:w="58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512"/>
        <w:gridCol w:w="874"/>
        <w:gridCol w:w="8667"/>
        <w:gridCol w:w="629"/>
      </w:tblGrid>
      <w:tr w14:paraId="3A8C2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tblHeader/>
          <w:jc w:val="center"/>
        </w:trPr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F38BE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CEF5A2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F45F4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C3F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指标说明及评价标准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838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008FF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  <w:jc w:val="center"/>
        </w:trPr>
        <w:tc>
          <w:tcPr>
            <w:tcW w:w="37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39D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登记服务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（24分）</w:t>
            </w:r>
          </w:p>
        </w:tc>
        <w:tc>
          <w:tcPr>
            <w:tcW w:w="221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ADD5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7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5EB0FE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求职登记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374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2B3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在醒目位置摆放求职登记表和填写样表，指导求职者填写求职信息，入户登记。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（1）开展求职登记服务建立个人求职档案大于等于300人，县内占比大于等于60%。（10分）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（2）开展求职登记服务建立个人求职档案大于等于200人小于300人，县内占比大于等于40%小于60%。（6分）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（2）开展求职登记服务建立个人求职档案大于等于100人小于200人，县内占比大于等于20%小于40%。（3分）</w:t>
            </w:r>
          </w:p>
          <w:p w14:paraId="3D1EFDD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（4）不符合上述情况。（0分）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46F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B907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7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8BC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75789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A1C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入户登记（2分）</w:t>
            </w:r>
          </w:p>
        </w:tc>
        <w:tc>
          <w:tcPr>
            <w:tcW w:w="3749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8DB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应主动入户登记，逐步建起困难群体人员台账、毕业生台账，“一人一档”“一人一策”，做到全面登记责任片区内有就业需求的居民求职信息。</w:t>
            </w:r>
          </w:p>
          <w:p w14:paraId="3C75B00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（1）困难群体人员、毕业生台账登记完善且片区登记覆盖率达90%及以上。（2分）</w:t>
            </w:r>
          </w:p>
          <w:p w14:paraId="5E27851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（2）困难群体人员、毕业生台账登记完善且片区登记覆盖率达80%-90%。（1分）</w:t>
            </w:r>
          </w:p>
          <w:p w14:paraId="0B55F0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（3）困难群体人员、毕业生台账登记不完善或片区登记覆盖率不足80%。（0分）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4D0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757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  <w:jc w:val="center"/>
        </w:trPr>
        <w:tc>
          <w:tcPr>
            <w:tcW w:w="3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DB4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B7B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7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876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用工登记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3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A83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开展用工登记服务，多渠道收集用工信息并做好登记。做好劳务带头人（经纪人）信息登记。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（1）用工登记信息数量大于等于300条，走访完辖区内用工单位，登记劳务带头人（经纪人）大于等于12人。（10分）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（2）用工登记信息数量大于等于200条小于300条，走访辖区内部分用工单位，登记劳务带头人（经纪人）大于等于8人小于12人。（5分）</w:t>
            </w:r>
          </w:p>
          <w:p w14:paraId="10FA4F1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（3）用工登记信息数量大于等于100条小于200条，走访辖区内部分用工单位，登记劳务带头人（经纪人）大于等于5人小于8人。（2分）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（4）不符合上述情况。（0分）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注：1家用人主体登记1次为1条用工登记信息。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65A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E682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3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ED6A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987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19B4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用工企业信息核实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（2分）</w:t>
            </w:r>
          </w:p>
        </w:tc>
        <w:tc>
          <w:tcPr>
            <w:tcW w:w="3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24B5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核实用人主体的信用情况，以及是否经登记管理机关核准后登记备案等，保证用工信息真实有效；确保用工信息不存在性别、年龄、地域、种族等就业歧视情况。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（1）用工信息全部真实有效，且不存在有就业歧视的用工信息。（2分）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（2）用工信息全部真实有效，但存在有就业歧视的用工信息。（1.5分）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（3）部分用工信息虚假无效，不存在有就业歧视的用工信息。（1分）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（4）不符合上述情况。（0分）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7516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C08E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37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530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咨询服务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（2分）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7C45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3709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业务咨询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（1分）</w:t>
            </w:r>
          </w:p>
        </w:tc>
        <w:tc>
          <w:tcPr>
            <w:tcW w:w="3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9CCA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提供就业创业政策和业务、人力资源服务、社会保险等方面的业务咨询。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（1）提供业务咨询并做记录。（1分）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（2）不符合上述情况。（0分）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注：驿站将该项服务转移至其他组织（或个人），则视为已提供该项服务。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9E2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901B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  <w:jc w:val="center"/>
        </w:trPr>
        <w:tc>
          <w:tcPr>
            <w:tcW w:w="37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711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4E25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F27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劳动维权</w:t>
            </w:r>
          </w:p>
          <w:p w14:paraId="4AE93FA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咨询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（1分）</w:t>
            </w:r>
          </w:p>
        </w:tc>
        <w:tc>
          <w:tcPr>
            <w:tcW w:w="3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934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指导帮助签订劳务合同、购买工伤保险、欠薪追讨、法律援助等。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（1）对求职者有需求的咨询事项均提供指导帮助。（1分）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（2）不符合上述情况。（0分）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注：驿站将该项服务转移至其他组织（或个人），则视为已提供该项服务。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25A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91176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  <w:jc w:val="center"/>
        </w:trPr>
        <w:tc>
          <w:tcPr>
            <w:tcW w:w="378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AF40B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信息录入与发布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0D91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0641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“1号求职机”信息录入与发布</w:t>
            </w:r>
          </w:p>
          <w:p w14:paraId="1C25D90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（5分）</w:t>
            </w:r>
          </w:p>
        </w:tc>
        <w:tc>
          <w:tcPr>
            <w:tcW w:w="3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F00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录入、发布求职用工信息。向所在辖区及周边等地区定点发布招聘信息。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（1）录入求职用工信息和定点发布招聘信息均达800条/年以上。（4分）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（2）录入求职用工信息或定点发布招聘信息不足600条/年。（2分）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（3）录入求职用工信息和定点发布招聘信息均未达400条/年。（1分）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（4）不符合上述情况。（0分）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D6C1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D6B2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37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2CB15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735A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6E7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发布其他 信息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（1分）</w:t>
            </w:r>
          </w:p>
        </w:tc>
        <w:tc>
          <w:tcPr>
            <w:tcW w:w="3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B1B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发布就业政策法规、招聘会、培训宣讲活动等其他信息。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（1）发布就业政策法规、招聘会、培训宣讲活动信息。（1分）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（2）发布就业政策法规、招聘会、培训宣讲活动其中的部分信息。（0.5分）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（3）不符合上述情况。（0分）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A68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DA11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  <w:jc w:val="center"/>
        </w:trPr>
        <w:tc>
          <w:tcPr>
            <w:tcW w:w="378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3259E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职业介绍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7001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B9D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就业服务 活动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3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F3B7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举办或者组织人员参加招聘会、面试会、就业洽谈等就业服务活动。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（1）举办或参加活动总数达12场次/年以上，且其中举办的不少于5场次/年。（4分）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（2）举办或参加活动总数达12场次/年，但其中举办的少于5场。（2分）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（3）举办或参加活动，但总数未达12场次/年。（1分）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（4）未举办或参加活动。（0分）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注：包括与其他机构平台联合举办的活动。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0FF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1226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2" w:hRule="atLeast"/>
          <w:jc w:val="center"/>
        </w:trPr>
        <w:tc>
          <w:tcPr>
            <w:tcW w:w="37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D4FD65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E69A2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474A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灵活就业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（8分）</w:t>
            </w:r>
          </w:p>
        </w:tc>
        <w:tc>
          <w:tcPr>
            <w:tcW w:w="3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7C65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通过日常介绍、“点对点”输送，推荐求职者灵活就业人次数。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（1）推荐求职者灵活就业大于等于300人次。（8分）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（2）推荐求职者灵活就业大于等于150人次小于300人次。（5分）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（3）推荐求职者灵活就业大于等于100人次小于150人次。（2分）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（4）不符合上述情况。（0分）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364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89BC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  <w:jc w:val="center"/>
        </w:trPr>
        <w:tc>
          <w:tcPr>
            <w:tcW w:w="37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7E5F4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1A78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C192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稳定就业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3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D4C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成功推荐稳定就业（非灵活就业）24人次，以劳动合同、参保记录为依据，包括组织招聘会、面试会、就业洽谈、日常推荐等各种方式推荐成功。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（1）成功推荐稳定就业（非灵活就业）大于等于24人次。（10分）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（2）成功推荐稳定就业（非灵活就业）大于等于12人次小于24人次。（5分）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（3）成功推荐稳定就业（非灵活就业）大于等于9人次小于12人次。（2分）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（4）不符合上述情况。（0分）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A4C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38791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8" w:hRule="atLeast"/>
          <w:jc w:val="center"/>
        </w:trPr>
        <w:tc>
          <w:tcPr>
            <w:tcW w:w="37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59E25B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0EA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627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就业推荐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（8分）</w:t>
            </w:r>
          </w:p>
        </w:tc>
        <w:tc>
          <w:tcPr>
            <w:tcW w:w="3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AF4F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驿站至少应当为在本站登记的求职者筛选5个匹配度高的岗位，进行不少于3次就业推荐；3次推荐不成功的，应当征求求职者意见再继续推荐。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（1）进行不少于3次就业推荐的求职者数量大于等于80%。（6分）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（2）进行不少于3次就业推荐的求职者数量大于等于60%小于80%。（3分）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（3）进行不少于3次就业推荐的求职者数量大于0小于60%。（1分）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（4）不符合上述情况。（0分）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注：在2次就业推荐以内已上岗的求职者视为进行不少于3次就业推荐。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F430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909B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  <w:jc w:val="center"/>
        </w:trPr>
        <w:tc>
          <w:tcPr>
            <w:tcW w:w="378" w:type="pct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D26AA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能力提升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D6F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BEE9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政策法规劳动维权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（2分）</w:t>
            </w:r>
          </w:p>
        </w:tc>
        <w:tc>
          <w:tcPr>
            <w:tcW w:w="3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F20C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开展政策法规宣讲、劳动维权等专家指导活动、服务活动。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（1）开展以上内容相关活动场次不少于6场次/年。（2分）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（2）开展以上内容相关活动场次少于6场次/年。（1分）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（3）不符合上述情况。（0分）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注：不局限于在驿站内宣讲。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C398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4738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37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3E148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00B5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5A3D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职业指导创业指导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（2分）</w:t>
            </w:r>
          </w:p>
        </w:tc>
        <w:tc>
          <w:tcPr>
            <w:tcW w:w="3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D274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开展职业指导、创业指导等专家指导活动、服务活动。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（1）开展以上内容相关活动场次不少于3场次/年。（2分）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（2）开展以上内容相关活动场次少于2场次/年。（1分）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（3）不符合上述情况。（0分）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注：不局限于在驿站内宣讲。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AC07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7127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  <w:jc w:val="center"/>
        </w:trPr>
        <w:tc>
          <w:tcPr>
            <w:tcW w:w="37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65E5C6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777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062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职业培训技能提升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（2分）</w:t>
            </w:r>
          </w:p>
        </w:tc>
        <w:tc>
          <w:tcPr>
            <w:tcW w:w="3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24AD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开展职业培训、技能提升等专家指导活动、服务活动。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（1）开展以上内容相关活动场次不少于3场次/年。（2分）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（2）开展以上内容相关活动场次少于2场次/年。（1分）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（3）不符合上述情况。（0分）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注：不局限于在驿站内宣讲。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B67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E1B1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0" w:hRule="atLeast"/>
          <w:jc w:val="center"/>
        </w:trPr>
        <w:tc>
          <w:tcPr>
            <w:tcW w:w="378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AAA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配合各级</w:t>
            </w:r>
          </w:p>
          <w:p w14:paraId="3F59CA2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政府工作 </w:t>
            </w:r>
          </w:p>
          <w:p w14:paraId="51C680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（26分）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CABD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3A1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协助完成重点指标（20分）</w:t>
            </w:r>
          </w:p>
        </w:tc>
        <w:tc>
          <w:tcPr>
            <w:tcW w:w="3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4F3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根据人社就业部门下达的指标协助完成城镇新增就业、城镇失业人员再就业、就业困难人员就业、高校毕业生就业、就业帮扶和技能人才队伍建设情况等。</w:t>
            </w:r>
          </w:p>
          <w:p w14:paraId="4300F25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（1）积极主动配合的。（20分）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（2）要求参加，不主动的。（10分）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（3）不配合的。（0分）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2DF8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4E285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  <w:jc w:val="center"/>
        </w:trPr>
        <w:tc>
          <w:tcPr>
            <w:tcW w:w="378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FBEC67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522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92D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配合乡镇政府工作（6分）</w:t>
            </w:r>
          </w:p>
        </w:tc>
        <w:tc>
          <w:tcPr>
            <w:tcW w:w="3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5B5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根据乡镇政府实际情况，积极配合组织开展就业服务等活动。</w:t>
            </w:r>
          </w:p>
          <w:p w14:paraId="09CA7C5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（1）积极主动配合的。（6分）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（2）要求参加，不主动的。（3分）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（3）不配合的。（0分）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D7A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CFCC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378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4B5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服务对象</w:t>
            </w:r>
          </w:p>
          <w:p w14:paraId="6FCB3D5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评价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1A6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30BB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服务对象评价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3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E4C2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采用抽样调查方式，通过对服务对象的电话调查或问卷调查，了解服务对象对驿站所开展服务（内容、形式、安排、工作人员的服务态度、专业能力、服务效果等）的满意度。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（1）满意度大于等于90%，得3分。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（2）满意度大于等于80%小于90%，得2分。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（3）满意度大于等于60%小于80%，得1分。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（4）满意度小于60%，不得分。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注：参与满意度测评的服务对象人数不少于登记服务（含求职登记和招工登记）数量的10%。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E94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BAC5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atLeast"/>
          <w:jc w:val="center"/>
        </w:trPr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9DA3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各镇、各村居委员会评价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498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CBA6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各镇、各村（居）委员会评价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（3分）</w:t>
            </w:r>
          </w:p>
        </w:tc>
        <w:tc>
          <w:tcPr>
            <w:tcW w:w="37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9B4E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通过电话调查或问卷调查，了解驿站辖区乡镇、村（居）委会对驿站所开展工作（工作时间、工作责任与态度、工作能力、工作职权、工作内容、取得成效等）的满意度。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（1）满意度大于等于90%，得3分。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（2）满意度大于等于80%小于90%，得2分。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（3）满意度大于等于60%小于80%，得1分。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（4）满意度小于60%，不得分。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500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05CA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atLeast"/>
          <w:jc w:val="center"/>
        </w:trPr>
        <w:tc>
          <w:tcPr>
            <w:tcW w:w="500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C71F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考核组：                                                                                        总得分：</w:t>
            </w:r>
          </w:p>
        </w:tc>
      </w:tr>
    </w:tbl>
    <w:p w14:paraId="1FB44FFC">
      <w:pPr>
        <w:keepNext w:val="0"/>
        <w:keepLines w:val="0"/>
        <w:pageBreakBefore w:val="0"/>
        <w:widowControl/>
        <w:suppressLineNumbers w:val="0"/>
        <w:wordWrap/>
        <w:overflowPunct/>
        <w:topLinePunct w:val="0"/>
        <w:bidi w:val="0"/>
        <w:spacing w:line="260" w:lineRule="exact"/>
        <w:jc w:val="left"/>
        <w:textAlignment w:val="center"/>
        <w:rPr>
          <w:rFonts w:hint="eastAsia" w:ascii="仿宋" w:hAnsi="仿宋" w:eastAsia="仿宋" w:cs="仿宋"/>
          <w:sz w:val="24"/>
          <w:szCs w:val="24"/>
          <w:lang w:val="en-US" w:eastAsia="zh-TW"/>
        </w:rPr>
      </w:pPr>
    </w:p>
    <w:p w14:paraId="5ADB804F">
      <w:pPr>
        <w:jc w:val="left"/>
        <w:rPr>
          <w:rFonts w:hint="default" w:ascii="方正小标宋简体" w:hAnsi="方正小标宋简体" w:eastAsia="方正小标宋简体" w:cs="方正小标宋简体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napToGrid w:val="0"/>
          <w:color w:val="000000"/>
          <w:kern w:val="0"/>
          <w:sz w:val="28"/>
          <w:szCs w:val="28"/>
          <w:u w:val="none"/>
          <w:lang w:val="en-US" w:eastAsia="zh-CN" w:bidi="ar"/>
        </w:rPr>
        <w:t>附件5</w:t>
      </w:r>
    </w:p>
    <w:p w14:paraId="5DCCFC35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澄迈县就业驿站工作绩效考核加分扣分指标</w:t>
      </w:r>
    </w:p>
    <w:p w14:paraId="67FA52A4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 xml:space="preserve">                                                                                            </w:t>
      </w:r>
    </w:p>
    <w:tbl>
      <w:tblPr>
        <w:tblStyle w:val="4"/>
        <w:tblW w:w="51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247"/>
        <w:gridCol w:w="7432"/>
        <w:gridCol w:w="769"/>
      </w:tblGrid>
      <w:tr w14:paraId="5EA5E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421D0B6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28"/>
                <w:szCs w:val="28"/>
                <w:lang w:val="en-US" w:eastAsia="zh-CN"/>
              </w:rPr>
              <w:t>加分项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28"/>
                <w:szCs w:val="28"/>
                <w:lang w:val="en-US" w:eastAsia="zh-CN"/>
              </w:rPr>
              <w:t>（15分）</w:t>
            </w:r>
          </w:p>
        </w:tc>
      </w:tr>
      <w:tr w14:paraId="42347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tblHeader/>
          <w:jc w:val="center"/>
        </w:trPr>
        <w:tc>
          <w:tcPr>
            <w:tcW w:w="371" w:type="pct"/>
            <w:shd w:val="clear" w:color="auto" w:fill="F1F1F1"/>
            <w:noWrap w:val="0"/>
            <w:vAlign w:val="center"/>
          </w:tcPr>
          <w:p w14:paraId="5FB3D4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610" w:type="pct"/>
            <w:shd w:val="clear" w:color="auto" w:fill="F1F1F1"/>
            <w:noWrap w:val="0"/>
            <w:vAlign w:val="center"/>
          </w:tcPr>
          <w:p w14:paraId="0FA829D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640" w:type="pct"/>
            <w:shd w:val="clear" w:color="auto" w:fill="F1F1F1"/>
            <w:noWrap w:val="0"/>
            <w:vAlign w:val="center"/>
          </w:tcPr>
          <w:p w14:paraId="4C08964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指标说明及评价标准</w:t>
            </w:r>
          </w:p>
        </w:tc>
        <w:tc>
          <w:tcPr>
            <w:tcW w:w="376" w:type="pct"/>
            <w:shd w:val="clear" w:color="auto" w:fill="F1F1F1"/>
            <w:noWrap w:val="0"/>
            <w:vAlign w:val="center"/>
          </w:tcPr>
          <w:p w14:paraId="6750FC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2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02614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7" w:hRule="atLeast"/>
          <w:jc w:val="center"/>
        </w:trPr>
        <w:tc>
          <w:tcPr>
            <w:tcW w:w="371" w:type="pct"/>
            <w:noWrap w:val="0"/>
            <w:vAlign w:val="center"/>
          </w:tcPr>
          <w:p w14:paraId="19CEAB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10" w:type="pct"/>
            <w:noWrap w:val="0"/>
            <w:vAlign w:val="center"/>
          </w:tcPr>
          <w:p w14:paraId="5786971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媒体报道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（5分）</w:t>
            </w:r>
          </w:p>
        </w:tc>
        <w:tc>
          <w:tcPr>
            <w:tcW w:w="3640" w:type="pct"/>
            <w:noWrap w:val="0"/>
            <w:vAlign w:val="center"/>
          </w:tcPr>
          <w:p w14:paraId="342AFA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每年获得县级以上媒体（包括但不限于报刊、杂志、电视、广播、网络）对驿站开展服务的正面报道不少于3次，3次以上的按以下加分：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（1）国家级报道为2分/次。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（2）省级报道（或省领导批示）为1分/次。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（3）市县级报道为0.5分/次。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注：1件事计一次，最高累积得分为5分。</w:t>
            </w:r>
          </w:p>
        </w:tc>
        <w:tc>
          <w:tcPr>
            <w:tcW w:w="376" w:type="pct"/>
            <w:noWrap w:val="0"/>
            <w:vAlign w:val="center"/>
          </w:tcPr>
          <w:p w14:paraId="357F16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F922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atLeast"/>
          <w:jc w:val="center"/>
        </w:trPr>
        <w:tc>
          <w:tcPr>
            <w:tcW w:w="371" w:type="pct"/>
            <w:noWrap w:val="0"/>
            <w:vAlign w:val="center"/>
          </w:tcPr>
          <w:p w14:paraId="0D4F460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10" w:type="pct"/>
            <w:noWrap w:val="0"/>
            <w:vAlign w:val="center"/>
          </w:tcPr>
          <w:p w14:paraId="578BFEC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发展劳务品牌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（2分）</w:t>
            </w:r>
          </w:p>
        </w:tc>
        <w:tc>
          <w:tcPr>
            <w:tcW w:w="3640" w:type="pct"/>
            <w:noWrap w:val="0"/>
            <w:vAlign w:val="center"/>
          </w:tcPr>
          <w:p w14:paraId="77B9C2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开展技能培训、获得职业资格证、输出劳务从业的人数均具有较大规模，发展形成带有区域性、行业性特点，具有特色、相对稳定、拥有较高市场知名度的劳务品牌，加2分。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注：根据劳务品牌特点、劳务输出规模、组织技能培训、取得相关职业资格证书的人数占比等情况综合评定。</w:t>
            </w:r>
          </w:p>
        </w:tc>
        <w:tc>
          <w:tcPr>
            <w:tcW w:w="376" w:type="pct"/>
            <w:noWrap w:val="0"/>
            <w:vAlign w:val="center"/>
          </w:tcPr>
          <w:p w14:paraId="47D0FFB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0583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371" w:type="pct"/>
            <w:noWrap w:val="0"/>
            <w:vAlign w:val="center"/>
          </w:tcPr>
          <w:p w14:paraId="43008AE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10" w:type="pct"/>
            <w:noWrap w:val="0"/>
            <w:vAlign w:val="center"/>
          </w:tcPr>
          <w:p w14:paraId="58B5AE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赋能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（1分）</w:t>
            </w:r>
          </w:p>
        </w:tc>
        <w:tc>
          <w:tcPr>
            <w:tcW w:w="3640" w:type="pct"/>
            <w:noWrap w:val="0"/>
            <w:vAlign w:val="center"/>
          </w:tcPr>
          <w:p w14:paraId="520F97F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本站加挂“劳动关系公共服务站”等其他公共服务平台，或有关部门的服务平台加挂在本站，为本站赋能增效，加1分。</w:t>
            </w:r>
          </w:p>
        </w:tc>
        <w:tc>
          <w:tcPr>
            <w:tcW w:w="376" w:type="pct"/>
            <w:noWrap w:val="0"/>
            <w:vAlign w:val="center"/>
          </w:tcPr>
          <w:p w14:paraId="4AA10A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DC4C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  <w:jc w:val="center"/>
        </w:trPr>
        <w:tc>
          <w:tcPr>
            <w:tcW w:w="371" w:type="pct"/>
            <w:noWrap w:val="0"/>
            <w:vAlign w:val="center"/>
          </w:tcPr>
          <w:p w14:paraId="47489F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10" w:type="pct"/>
            <w:noWrap w:val="0"/>
            <w:vAlign w:val="center"/>
          </w:tcPr>
          <w:p w14:paraId="04DB9E4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直播间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（4分）</w:t>
            </w:r>
          </w:p>
        </w:tc>
        <w:tc>
          <w:tcPr>
            <w:tcW w:w="3640" w:type="pct"/>
            <w:noWrap w:val="0"/>
            <w:vAlign w:val="center"/>
          </w:tcPr>
          <w:p w14:paraId="0B22EA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设置直播间，组织开展招聘、讲座、带岗直播、带货直播；主动对接省市县各类招聘对接活动，协助当地求职者进行线上面试。每次加0.5分，最高累积得分为4分。</w:t>
            </w:r>
          </w:p>
        </w:tc>
        <w:tc>
          <w:tcPr>
            <w:tcW w:w="376" w:type="pct"/>
            <w:noWrap w:val="0"/>
            <w:vAlign w:val="center"/>
          </w:tcPr>
          <w:p w14:paraId="1040C9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C720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  <w:jc w:val="center"/>
        </w:trPr>
        <w:tc>
          <w:tcPr>
            <w:tcW w:w="371" w:type="pct"/>
            <w:noWrap w:val="0"/>
            <w:vAlign w:val="center"/>
          </w:tcPr>
          <w:p w14:paraId="7A7C70C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10" w:type="pct"/>
            <w:noWrap w:val="0"/>
            <w:vAlign w:val="center"/>
          </w:tcPr>
          <w:p w14:paraId="37035C0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人员专业度（2分）</w:t>
            </w:r>
          </w:p>
        </w:tc>
        <w:tc>
          <w:tcPr>
            <w:tcW w:w="3640" w:type="pct"/>
            <w:noWrap w:val="0"/>
            <w:vAlign w:val="center"/>
          </w:tcPr>
          <w:p w14:paraId="0A10A0F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工作人员具有就业服务相关工作经验，加0.25分；持相关就业服务资格证书的，加0.25分。</w:t>
            </w:r>
          </w:p>
          <w:p w14:paraId="4AC9802C">
            <w:pPr>
              <w:pStyle w:val="3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注：最高累积得分为1分。</w:t>
            </w:r>
          </w:p>
        </w:tc>
        <w:tc>
          <w:tcPr>
            <w:tcW w:w="376" w:type="pct"/>
            <w:noWrap w:val="0"/>
            <w:vAlign w:val="center"/>
          </w:tcPr>
          <w:p w14:paraId="31A94C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EA06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371" w:type="pct"/>
            <w:noWrap w:val="0"/>
            <w:vAlign w:val="center"/>
          </w:tcPr>
          <w:p w14:paraId="2BEE124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610" w:type="pct"/>
            <w:noWrap w:val="0"/>
            <w:vAlign w:val="center"/>
          </w:tcPr>
          <w:p w14:paraId="61D804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营业时间（1分）</w:t>
            </w:r>
          </w:p>
        </w:tc>
        <w:tc>
          <w:tcPr>
            <w:tcW w:w="3640" w:type="pct"/>
            <w:noWrap w:val="0"/>
            <w:vAlign w:val="center"/>
          </w:tcPr>
          <w:p w14:paraId="7D9E47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在假期期间（包括周六周日及法定节假日）开门营业的，加1分。</w:t>
            </w:r>
          </w:p>
        </w:tc>
        <w:tc>
          <w:tcPr>
            <w:tcW w:w="376" w:type="pct"/>
            <w:noWrap w:val="0"/>
            <w:vAlign w:val="center"/>
          </w:tcPr>
          <w:p w14:paraId="51539D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4E2D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05EB41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8"/>
                <w:szCs w:val="28"/>
                <w:lang w:val="en-US" w:eastAsia="zh-CN"/>
              </w:rPr>
              <w:t>扣分项</w:t>
            </w:r>
          </w:p>
        </w:tc>
      </w:tr>
      <w:tr w14:paraId="7F820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371" w:type="pct"/>
            <w:shd w:val="clear" w:color="auto" w:fill="F1F1F1"/>
            <w:noWrap w:val="0"/>
            <w:vAlign w:val="center"/>
          </w:tcPr>
          <w:p w14:paraId="31A8C4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610" w:type="pct"/>
            <w:shd w:val="clear" w:color="auto" w:fill="F1F1F1"/>
            <w:noWrap w:val="0"/>
            <w:vAlign w:val="center"/>
          </w:tcPr>
          <w:p w14:paraId="1ABBA95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</w:t>
            </w:r>
          </w:p>
        </w:tc>
        <w:tc>
          <w:tcPr>
            <w:tcW w:w="3640" w:type="pct"/>
            <w:shd w:val="clear" w:color="auto" w:fill="F1F1F1"/>
            <w:noWrap w:val="0"/>
            <w:vAlign w:val="center"/>
          </w:tcPr>
          <w:p w14:paraId="6227D3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指标说明及评价标准</w:t>
            </w:r>
          </w:p>
        </w:tc>
        <w:tc>
          <w:tcPr>
            <w:tcW w:w="376" w:type="pct"/>
            <w:shd w:val="clear" w:color="auto" w:fill="F1F1F1"/>
            <w:noWrap w:val="0"/>
            <w:vAlign w:val="center"/>
          </w:tcPr>
          <w:p w14:paraId="6100E8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31628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371" w:type="pct"/>
            <w:noWrap w:val="0"/>
            <w:vAlign w:val="center"/>
          </w:tcPr>
          <w:p w14:paraId="6C1E200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610" w:type="pct"/>
            <w:noWrap w:val="0"/>
            <w:vAlign w:val="center"/>
          </w:tcPr>
          <w:p w14:paraId="47BBC5D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场所标志</w:t>
            </w:r>
          </w:p>
        </w:tc>
        <w:tc>
          <w:tcPr>
            <w:tcW w:w="3640" w:type="pct"/>
            <w:noWrap w:val="0"/>
            <w:vAlign w:val="center"/>
          </w:tcPr>
          <w:p w14:paraId="498AF1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没有使用全省统一服务标识，统一命名规则，统一装修风格的，每发现1例扣1分，最高扣5分。</w:t>
            </w:r>
          </w:p>
        </w:tc>
        <w:tc>
          <w:tcPr>
            <w:tcW w:w="376" w:type="pct"/>
            <w:noWrap w:val="0"/>
            <w:vAlign w:val="center"/>
          </w:tcPr>
          <w:p w14:paraId="090494C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0CB2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371" w:type="pct"/>
            <w:noWrap w:val="0"/>
            <w:vAlign w:val="center"/>
          </w:tcPr>
          <w:p w14:paraId="66CFFF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610" w:type="pct"/>
            <w:noWrap w:val="0"/>
            <w:vAlign w:val="center"/>
          </w:tcPr>
          <w:p w14:paraId="68ADDD1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求职联系</w:t>
            </w:r>
          </w:p>
        </w:tc>
        <w:tc>
          <w:tcPr>
            <w:tcW w:w="3640" w:type="pct"/>
            <w:noWrap w:val="0"/>
            <w:vAlign w:val="center"/>
          </w:tcPr>
          <w:p w14:paraId="619D4AC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从求职者在“海南好就业”APP登记的时间计起，驿站要做到24小时之内联系求职者，每缺少联系一位求职者扣1分，最高扣6分。</w:t>
            </w:r>
          </w:p>
        </w:tc>
        <w:tc>
          <w:tcPr>
            <w:tcW w:w="376" w:type="pct"/>
            <w:noWrap w:val="0"/>
            <w:vAlign w:val="center"/>
          </w:tcPr>
          <w:p w14:paraId="540940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93E7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371" w:type="pct"/>
            <w:noWrap w:val="0"/>
            <w:vAlign w:val="center"/>
          </w:tcPr>
          <w:p w14:paraId="13A6489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610" w:type="pct"/>
            <w:noWrap w:val="0"/>
            <w:vAlign w:val="center"/>
          </w:tcPr>
          <w:p w14:paraId="0AA0776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APP使用</w:t>
            </w:r>
          </w:p>
        </w:tc>
        <w:tc>
          <w:tcPr>
            <w:tcW w:w="3640" w:type="pct"/>
            <w:noWrap w:val="0"/>
            <w:vAlign w:val="center"/>
          </w:tcPr>
          <w:p w14:paraId="5FFA3F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没有使用“海南好就业”APP的，扣10分。</w:t>
            </w:r>
          </w:p>
        </w:tc>
        <w:tc>
          <w:tcPr>
            <w:tcW w:w="376" w:type="pct"/>
            <w:noWrap w:val="0"/>
            <w:vAlign w:val="center"/>
          </w:tcPr>
          <w:p w14:paraId="14A87B0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C307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371" w:type="pct"/>
            <w:noWrap w:val="0"/>
            <w:vAlign w:val="center"/>
          </w:tcPr>
          <w:p w14:paraId="22058A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610" w:type="pct"/>
            <w:noWrap w:val="0"/>
            <w:vAlign w:val="center"/>
          </w:tcPr>
          <w:p w14:paraId="504E95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二维码</w:t>
            </w:r>
          </w:p>
          <w:p w14:paraId="1668DE6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公布</w:t>
            </w:r>
          </w:p>
        </w:tc>
        <w:tc>
          <w:tcPr>
            <w:tcW w:w="3640" w:type="pct"/>
            <w:noWrap w:val="0"/>
            <w:vAlign w:val="center"/>
          </w:tcPr>
          <w:p w14:paraId="3C3AA1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缺乏在醒目位置将“海南好就业”APP的二维码上墙明示，扣2分。</w:t>
            </w:r>
          </w:p>
        </w:tc>
        <w:tc>
          <w:tcPr>
            <w:tcW w:w="376" w:type="pct"/>
            <w:noWrap w:val="0"/>
            <w:vAlign w:val="center"/>
          </w:tcPr>
          <w:p w14:paraId="6C036DC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8170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371" w:type="pct"/>
            <w:noWrap w:val="0"/>
            <w:vAlign w:val="center"/>
          </w:tcPr>
          <w:p w14:paraId="7727D6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610" w:type="pct"/>
            <w:noWrap w:val="0"/>
            <w:vAlign w:val="center"/>
          </w:tcPr>
          <w:p w14:paraId="55DE232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宣传管理</w:t>
            </w:r>
          </w:p>
        </w:tc>
        <w:tc>
          <w:tcPr>
            <w:tcW w:w="3640" w:type="pct"/>
            <w:noWrap w:val="0"/>
            <w:vAlign w:val="center"/>
          </w:tcPr>
          <w:p w14:paraId="256A89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出现人力资源公司在驿站宣传本公司的情况，扣3分。</w:t>
            </w:r>
          </w:p>
        </w:tc>
        <w:tc>
          <w:tcPr>
            <w:tcW w:w="376" w:type="pct"/>
            <w:noWrap w:val="0"/>
            <w:vAlign w:val="center"/>
          </w:tcPr>
          <w:p w14:paraId="798FA16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8D63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371" w:type="pct"/>
            <w:noWrap w:val="0"/>
            <w:vAlign w:val="center"/>
          </w:tcPr>
          <w:p w14:paraId="5BB258B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610" w:type="pct"/>
            <w:noWrap w:val="0"/>
            <w:vAlign w:val="center"/>
          </w:tcPr>
          <w:p w14:paraId="27014B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就业歧视</w:t>
            </w:r>
          </w:p>
        </w:tc>
        <w:tc>
          <w:tcPr>
            <w:tcW w:w="3640" w:type="pct"/>
            <w:noWrap w:val="0"/>
            <w:vAlign w:val="center"/>
          </w:tcPr>
          <w:p w14:paraId="6F3F823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发布的用工、招工信息存在就业歧视的，扣2分。</w:t>
            </w:r>
          </w:p>
        </w:tc>
        <w:tc>
          <w:tcPr>
            <w:tcW w:w="376" w:type="pct"/>
            <w:noWrap w:val="0"/>
            <w:vAlign w:val="center"/>
          </w:tcPr>
          <w:p w14:paraId="6B5FEB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D569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371" w:type="pct"/>
            <w:noWrap w:val="0"/>
            <w:vAlign w:val="center"/>
          </w:tcPr>
          <w:p w14:paraId="570CD26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610" w:type="pct"/>
            <w:noWrap w:val="0"/>
            <w:vAlign w:val="center"/>
          </w:tcPr>
          <w:p w14:paraId="5D1CBBC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数据统计报送</w:t>
            </w:r>
          </w:p>
        </w:tc>
        <w:tc>
          <w:tcPr>
            <w:tcW w:w="3640" w:type="pct"/>
            <w:noWrap w:val="0"/>
            <w:vAlign w:val="center"/>
          </w:tcPr>
          <w:p w14:paraId="162A292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驿站要及时统计相关就业服务数据，并按时(每周1次)报送给就业部门。不按时报送数据的,一次扣2分；连续三次不报送的，扣5分。</w:t>
            </w:r>
          </w:p>
        </w:tc>
        <w:tc>
          <w:tcPr>
            <w:tcW w:w="376" w:type="pct"/>
            <w:noWrap w:val="0"/>
            <w:vAlign w:val="center"/>
          </w:tcPr>
          <w:p w14:paraId="02B881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0539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371" w:type="pct"/>
            <w:noWrap w:val="0"/>
            <w:vAlign w:val="center"/>
          </w:tcPr>
          <w:p w14:paraId="118F3B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610" w:type="pct"/>
            <w:noWrap w:val="0"/>
            <w:vAlign w:val="center"/>
          </w:tcPr>
          <w:p w14:paraId="3B600B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社会投诉</w:t>
            </w:r>
          </w:p>
        </w:tc>
        <w:tc>
          <w:tcPr>
            <w:tcW w:w="3640" w:type="pct"/>
            <w:noWrap w:val="0"/>
            <w:vAlign w:val="center"/>
          </w:tcPr>
          <w:p w14:paraId="5A52C32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被正式投诉，核查属实，出现一次扣2分。</w:t>
            </w:r>
          </w:p>
        </w:tc>
        <w:tc>
          <w:tcPr>
            <w:tcW w:w="376" w:type="pct"/>
            <w:noWrap w:val="0"/>
            <w:vAlign w:val="center"/>
          </w:tcPr>
          <w:p w14:paraId="337258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9AF2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371" w:type="pct"/>
            <w:noWrap w:val="0"/>
            <w:vAlign w:val="center"/>
          </w:tcPr>
          <w:p w14:paraId="3F8795D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610" w:type="pct"/>
            <w:noWrap w:val="0"/>
            <w:vAlign w:val="center"/>
          </w:tcPr>
          <w:p w14:paraId="3478EB4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评估信息真实性</w:t>
            </w:r>
          </w:p>
        </w:tc>
        <w:tc>
          <w:tcPr>
            <w:tcW w:w="3640" w:type="pct"/>
            <w:noWrap w:val="0"/>
            <w:vAlign w:val="center"/>
          </w:tcPr>
          <w:p w14:paraId="304606E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考核材料弄虚作假影响考核的，扣10分。</w:t>
            </w:r>
          </w:p>
        </w:tc>
        <w:tc>
          <w:tcPr>
            <w:tcW w:w="376" w:type="pct"/>
            <w:noWrap w:val="0"/>
            <w:vAlign w:val="center"/>
          </w:tcPr>
          <w:p w14:paraId="69F691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6888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371" w:type="pct"/>
            <w:noWrap w:val="0"/>
            <w:vAlign w:val="center"/>
          </w:tcPr>
          <w:p w14:paraId="18414D0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10" w:type="pct"/>
            <w:noWrap w:val="0"/>
            <w:vAlign w:val="center"/>
          </w:tcPr>
          <w:p w14:paraId="6ADE2F9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媒体报道</w:t>
            </w:r>
          </w:p>
        </w:tc>
        <w:tc>
          <w:tcPr>
            <w:tcW w:w="3640" w:type="pct"/>
            <w:noWrap w:val="0"/>
            <w:vAlign w:val="center"/>
          </w:tcPr>
          <w:p w14:paraId="4ECC9EA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每年获得县级以上媒体（包括但不限于报刊、杂志、电视、广播、网络）对驿站开展服务的正面报道少于3次的扣2分。</w:t>
            </w:r>
          </w:p>
        </w:tc>
        <w:tc>
          <w:tcPr>
            <w:tcW w:w="376" w:type="pct"/>
            <w:noWrap w:val="0"/>
            <w:vAlign w:val="center"/>
          </w:tcPr>
          <w:p w14:paraId="248878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EB01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  <w:jc w:val="center"/>
        </w:trPr>
        <w:tc>
          <w:tcPr>
            <w:tcW w:w="371" w:type="pct"/>
            <w:noWrap w:val="0"/>
            <w:vAlign w:val="center"/>
          </w:tcPr>
          <w:p w14:paraId="6F3DCB2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610" w:type="pct"/>
            <w:noWrap w:val="0"/>
            <w:vAlign w:val="center"/>
          </w:tcPr>
          <w:p w14:paraId="432561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入住条件指标</w:t>
            </w:r>
          </w:p>
        </w:tc>
        <w:tc>
          <w:tcPr>
            <w:tcW w:w="3640" w:type="pct"/>
            <w:noWrap w:val="0"/>
            <w:vAlign w:val="center"/>
          </w:tcPr>
          <w:p w14:paraId="197AD48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符合入住条件指标1的取消委托运营资格并承担相应责任；不符合入住条件指标2的扣2分并按实际工资扣减管理费；不符合入住条件指标3的扣2分；不符合入住条件指标4的每少一个制度扣0.5分；不符合入住条件指标5的每少一项扣0.2分。</w:t>
            </w:r>
          </w:p>
        </w:tc>
        <w:tc>
          <w:tcPr>
            <w:tcW w:w="376" w:type="pct"/>
            <w:noWrap w:val="0"/>
            <w:vAlign w:val="center"/>
          </w:tcPr>
          <w:p w14:paraId="27B7289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DA84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  <w:jc w:val="center"/>
        </w:trPr>
        <w:tc>
          <w:tcPr>
            <w:tcW w:w="371" w:type="pct"/>
            <w:noWrap w:val="0"/>
            <w:vAlign w:val="center"/>
          </w:tcPr>
          <w:p w14:paraId="3B3943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610" w:type="pct"/>
            <w:noWrap w:val="0"/>
            <w:vAlign w:val="center"/>
          </w:tcPr>
          <w:p w14:paraId="22D8938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负面影响</w:t>
            </w:r>
          </w:p>
        </w:tc>
        <w:tc>
          <w:tcPr>
            <w:tcW w:w="3640" w:type="pct"/>
            <w:noWrap w:val="0"/>
            <w:vAlign w:val="center"/>
          </w:tcPr>
          <w:p w14:paraId="0F315C0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开展业务过程中造成不良影响的（含媒体报道），一次最低扣5分；造成重大影响的，可以直接定为考核不合格。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注：重大影响包括发生社会治安案件、刑事案件等负面影响。</w:t>
            </w:r>
          </w:p>
        </w:tc>
        <w:tc>
          <w:tcPr>
            <w:tcW w:w="376" w:type="pct"/>
            <w:noWrap w:val="0"/>
            <w:vAlign w:val="center"/>
          </w:tcPr>
          <w:p w14:paraId="6DE85E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6F438195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A0B070"/>
    <w:multiLevelType w:val="singleLevel"/>
    <w:tmpl w:val="82A0B070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CCC3A9D6"/>
    <w:multiLevelType w:val="singleLevel"/>
    <w:tmpl w:val="CCC3A9D6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1EE6D952"/>
    <w:multiLevelType w:val="singleLevel"/>
    <w:tmpl w:val="1EE6D952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3">
    <w:nsid w:val="27C807F7"/>
    <w:multiLevelType w:val="singleLevel"/>
    <w:tmpl w:val="27C807F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28371B0F"/>
    <w:multiLevelType w:val="singleLevel"/>
    <w:tmpl w:val="28371B0F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91F1E"/>
    <w:rsid w:val="04DD232D"/>
    <w:rsid w:val="04F063C6"/>
    <w:rsid w:val="1AA723A0"/>
    <w:rsid w:val="1C4F1820"/>
    <w:rsid w:val="356E0C47"/>
    <w:rsid w:val="371E03F5"/>
    <w:rsid w:val="3DE16ECD"/>
    <w:rsid w:val="49B503C3"/>
    <w:rsid w:val="4FC60B87"/>
    <w:rsid w:val="5DFB4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2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 w:afterLines="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7">
    <w:name w:val="UserStyle_20"/>
    <w:link w:val="8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8">
    <w:name w:val="Heading1"/>
    <w:basedOn w:val="1"/>
    <w:next w:val="9"/>
    <w:link w:val="7"/>
    <w:qFormat/>
    <w:uiPriority w:val="0"/>
    <w:pPr>
      <w:keepNext/>
      <w:keepLines/>
      <w:spacing w:before="340" w:after="330" w:line="576" w:lineRule="auto"/>
    </w:pPr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9">
    <w:name w:val="Heading2"/>
    <w:basedOn w:val="1"/>
    <w:next w:val="1"/>
    <w:qFormat/>
    <w:uiPriority w:val="0"/>
    <w:pPr>
      <w:keepNext/>
      <w:keepLines/>
      <w:spacing w:before="260" w:after="260" w:line="412" w:lineRule="auto"/>
    </w:pPr>
    <w:rPr>
      <w:rFonts w:ascii="Arial" w:hAnsi="Arial" w:eastAsia="黑体"/>
      <w:b/>
      <w:bCs/>
      <w:sz w:val="32"/>
      <w:szCs w:val="32"/>
    </w:rPr>
  </w:style>
  <w:style w:type="paragraph" w:customStyle="1" w:styleId="10">
    <w:name w:val="无间隔1"/>
    <w:qFormat/>
    <w:uiPriority w:val="1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paragraph" w:customStyle="1" w:styleId="11">
    <w:name w:val="List Paragraph"/>
    <w:basedOn w:val="1"/>
    <w:qFormat/>
    <w:uiPriority w:val="1"/>
    <w:pPr>
      <w:ind w:left="120" w:firstLine="24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12633</Words>
  <Characters>13101</Characters>
  <Lines>0</Lines>
  <Paragraphs>0</Paragraphs>
  <TotalTime>0</TotalTime>
  <ScaleCrop>false</ScaleCrop>
  <LinksUpToDate>false</LinksUpToDate>
  <CharactersWithSpaces>14027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2025-08-18T10:15:00Z</dcterms:created>
  <dc:creator>Administrator</dc:creator>
  <cp:lastModifiedBy>夏末</cp:lastModifiedBy>
  <dcterms:modified xsi:type="dcterms:W3CDTF">2025-08-22T10:58:15Z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eyJoZGlkIjoiYzcxMzdjN2JlZTE4ZmZlY2RmYjdlODZhMjYyOWExNjAiLCJ1c2VySWQiOiIyMjY3MTc2NzIifQ==</vt:lpwstr>
  </property>
  <property fmtid="{D5CDD505-2E9C-101B-9397-08002B2CF9AE}" pid="4" name="ICV">
    <vt:lpwstr>52CC0EE5B07F4F56BA76E5701BAA9057_12</vt:lpwstr>
  </property>
</Properties>
</file>